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7"/>
        <w:ind w:left="0"/>
        <w:rPr>
          <w:rFonts w:ascii="Times New Roman"/>
          <w:sz w:val="23"/>
        </w:rPr>
      </w:pPr>
    </w:p>
    <w:p>
      <w:pPr>
        <w:spacing w:line="1551" w:lineRule="exact" w:before="0"/>
        <w:ind w:left="0" w:right="256" w:firstLine="0"/>
        <w:jc w:val="center"/>
        <w:rPr>
          <w:rFonts w:ascii="方正小标宋简体" w:eastAsia="方正小标宋简体" w:hint="eastAsia"/>
          <w:sz w:val="98"/>
        </w:rPr>
      </w:pPr>
      <w:r>
        <w:rPr>
          <w:rFonts w:ascii="方正小标宋简体" w:eastAsia="方正小标宋简体" w:hint="eastAsia"/>
          <w:color w:val="FF0000"/>
          <w:w w:val="70"/>
          <w:sz w:val="98"/>
        </w:rPr>
        <w:t>北京信息科技大学文件</w:t>
      </w:r>
    </w:p>
    <w:p>
      <w:pPr>
        <w:pStyle w:val="BodyText"/>
        <w:ind w:left="0"/>
        <w:rPr>
          <w:rFonts w:ascii="方正小标宋简体"/>
          <w:sz w:val="20"/>
        </w:rPr>
      </w:pPr>
    </w:p>
    <w:p>
      <w:pPr>
        <w:pStyle w:val="BodyText"/>
        <w:ind w:left="0"/>
        <w:rPr>
          <w:rFonts w:ascii="方正小标宋简体"/>
          <w:sz w:val="20"/>
        </w:rPr>
      </w:pPr>
    </w:p>
    <w:p>
      <w:pPr>
        <w:pStyle w:val="BodyText"/>
        <w:spacing w:before="11"/>
        <w:ind w:left="0"/>
        <w:rPr>
          <w:rFonts w:ascii="方正小标宋简体"/>
          <w:sz w:val="20"/>
        </w:rPr>
      </w:pPr>
    </w:p>
    <w:p>
      <w:pPr>
        <w:pStyle w:val="BodyText"/>
        <w:spacing w:before="55"/>
        <w:ind w:left="0" w:right="166"/>
        <w:jc w:val="center"/>
      </w:pPr>
      <w:r>
        <w:rPr/>
        <w:pict>
          <v:line style="position:absolute;mso-position-horizontal-relative:page;mso-position-vertical-relative:paragraph;z-index:-251658240;mso-wrap-distance-left:0;mso-wrap-distance-right:0" from="79.900002pt,27.09001pt" to="522.100002pt,27.09001pt" stroked="true" strokeweight=".75pt" strokecolor="#ff0000">
            <v:stroke dashstyle="solid"/>
            <w10:wrap type="topAndBottom"/>
          </v:line>
        </w:pict>
      </w:r>
      <w:r>
        <w:rPr/>
        <w:t>校资发„2019‟4 号</w:t>
      </w:r>
    </w:p>
    <w:p>
      <w:pPr>
        <w:pStyle w:val="BodyText"/>
        <w:ind w:left="0"/>
      </w:pPr>
    </w:p>
    <w:p>
      <w:pPr>
        <w:pStyle w:val="BodyText"/>
        <w:ind w:left="0"/>
      </w:pPr>
    </w:p>
    <w:p>
      <w:pPr>
        <w:pStyle w:val="Heading1"/>
        <w:spacing w:before="242"/>
        <w:ind w:right="169"/>
      </w:pPr>
      <w:r>
        <w:rPr/>
        <w:t>关于印发《北京信息科技大学</w:t>
      </w:r>
    </w:p>
    <w:p>
      <w:pPr>
        <w:spacing w:line="689" w:lineRule="exact" w:before="0"/>
        <w:ind w:left="0" w:right="167" w:firstLine="0"/>
        <w:jc w:val="center"/>
        <w:rPr>
          <w:rFonts w:ascii="方正小标宋简体" w:eastAsia="方正小标宋简体" w:hint="eastAsia"/>
          <w:sz w:val="44"/>
        </w:rPr>
      </w:pPr>
      <w:r>
        <w:rPr>
          <w:rFonts w:ascii="方正小标宋简体" w:eastAsia="方正小标宋简体" w:hint="eastAsia"/>
          <w:sz w:val="44"/>
        </w:rPr>
        <w:t>无形资产管理办法（试行</w:t>
      </w:r>
      <w:r>
        <w:rPr>
          <w:rFonts w:ascii="方正小标宋简体" w:eastAsia="方正小标宋简体" w:hint="eastAsia"/>
          <w:spacing w:val="-217"/>
          <w:sz w:val="44"/>
        </w:rPr>
        <w:t>）</w:t>
      </w:r>
      <w:r>
        <w:rPr>
          <w:rFonts w:ascii="方正小标宋简体" w:eastAsia="方正小标宋简体" w:hint="eastAsia"/>
          <w:sz w:val="44"/>
        </w:rPr>
        <w:t>》的通知</w:t>
      </w:r>
    </w:p>
    <w:p>
      <w:pPr>
        <w:pStyle w:val="BodyText"/>
        <w:spacing w:before="10"/>
        <w:ind w:left="0"/>
        <w:rPr>
          <w:rFonts w:ascii="方正小标宋简体"/>
          <w:sz w:val="33"/>
        </w:rPr>
      </w:pPr>
    </w:p>
    <w:p>
      <w:pPr>
        <w:pStyle w:val="BodyText"/>
        <w:spacing w:before="1"/>
      </w:pPr>
      <w:r>
        <w:rPr/>
        <w:t>校内各单位：</w:t>
      </w:r>
    </w:p>
    <w:p>
      <w:pPr>
        <w:pStyle w:val="BodyText"/>
        <w:spacing w:before="149"/>
        <w:ind w:left="770"/>
      </w:pPr>
      <w:r>
        <w:rPr>
          <w:spacing w:val="-2"/>
        </w:rPr>
        <w:t>《北京信息科技大学无形资产管理办法</w:t>
      </w:r>
      <w:r>
        <w:rPr/>
        <w:t>（试行</w:t>
      </w:r>
      <w:r>
        <w:rPr>
          <w:spacing w:val="-160"/>
        </w:rPr>
        <w:t>）</w:t>
      </w:r>
      <w:r>
        <w:rPr>
          <w:spacing w:val="-28"/>
        </w:rPr>
        <w:t>》已经 </w:t>
      </w:r>
      <w:r>
        <w:rPr/>
        <w:t>2019</w:t>
      </w:r>
    </w:p>
    <w:p>
      <w:pPr>
        <w:pStyle w:val="BodyText"/>
        <w:spacing w:line="328" w:lineRule="auto" w:before="151"/>
        <w:ind w:right="133"/>
      </w:pPr>
      <w:r>
        <w:rPr>
          <w:spacing w:val="-41"/>
        </w:rPr>
        <w:t>年 </w:t>
      </w:r>
      <w:r>
        <w:rPr/>
        <w:t>6</w:t>
      </w:r>
      <w:r>
        <w:rPr>
          <w:spacing w:val="-54"/>
        </w:rPr>
        <w:t> 月 </w:t>
      </w:r>
      <w:r>
        <w:rPr/>
        <w:t>26</w:t>
      </w:r>
      <w:r>
        <w:rPr>
          <w:spacing w:val="-41"/>
        </w:rPr>
        <w:t> 日第 </w:t>
      </w:r>
      <w:r>
        <w:rPr/>
        <w:t>18</w:t>
      </w:r>
      <w:r>
        <w:rPr>
          <w:spacing w:val="-32"/>
        </w:rPr>
        <w:t> 次校长办公会、第 </w:t>
      </w:r>
      <w:r>
        <w:rPr/>
        <w:t>20</w:t>
      </w:r>
      <w:r>
        <w:rPr>
          <w:spacing w:val="-11"/>
        </w:rPr>
        <w:t> 次党委常委会审议通过， </w:t>
      </w:r>
      <w:r>
        <w:rPr/>
        <w:t>现印发给你们，请遵照执行。</w:t>
      </w:r>
    </w:p>
    <w:p>
      <w:pPr>
        <w:pStyle w:val="BodyText"/>
        <w:spacing w:before="6"/>
        <w:ind w:left="0"/>
        <w:rPr>
          <w:sz w:val="43"/>
        </w:rPr>
      </w:pPr>
    </w:p>
    <w:p>
      <w:pPr>
        <w:pStyle w:val="BodyText"/>
        <w:spacing w:line="326" w:lineRule="auto" w:before="1"/>
        <w:ind w:left="5683" w:right="1080" w:hanging="80"/>
      </w:pPr>
      <w:r>
        <w:rPr>
          <w:spacing w:val="-2"/>
        </w:rPr>
        <w:t>北京信息科技大学</w:t>
      </w:r>
      <w:r>
        <w:rPr/>
        <w:t>2019</w:t>
      </w:r>
      <w:r>
        <w:rPr>
          <w:spacing w:val="-54"/>
        </w:rPr>
        <w:t> 年 </w:t>
      </w:r>
      <w:r>
        <w:rPr/>
        <w:t>7</w:t>
      </w:r>
      <w:r>
        <w:rPr>
          <w:spacing w:val="-54"/>
        </w:rPr>
        <w:t> 月 </w:t>
      </w:r>
      <w:r>
        <w:rPr/>
        <w:t>12</w:t>
      </w:r>
      <w:r>
        <w:rPr>
          <w:spacing w:val="-49"/>
        </w:rPr>
        <w:t> 日</w:t>
      </w:r>
    </w:p>
    <w:p>
      <w:pPr>
        <w:spacing w:after="0" w:line="326" w:lineRule="auto"/>
        <w:sectPr>
          <w:footerReference w:type="default" r:id="rId5"/>
          <w:footerReference w:type="even" r:id="rId6"/>
          <w:type w:val="continuous"/>
          <w:pgSz w:w="11910" w:h="16840"/>
          <w:pgMar w:footer="1114" w:top="1580" w:bottom="1300" w:left="1460" w:right="1200"/>
          <w:pgNumType w:start="1"/>
        </w:sectPr>
      </w:pPr>
    </w:p>
    <w:p>
      <w:pPr>
        <w:pStyle w:val="BodyText"/>
        <w:ind w:left="0"/>
        <w:rPr>
          <w:sz w:val="20"/>
        </w:rPr>
      </w:pPr>
    </w:p>
    <w:p>
      <w:pPr>
        <w:pStyle w:val="BodyText"/>
        <w:spacing w:before="3"/>
        <w:ind w:left="0"/>
        <w:rPr>
          <w:sz w:val="15"/>
        </w:rPr>
      </w:pPr>
    </w:p>
    <w:p>
      <w:pPr>
        <w:pStyle w:val="Heading1"/>
        <w:spacing w:line="642" w:lineRule="exact"/>
      </w:pPr>
      <w:r>
        <w:rPr/>
        <w:t>北京信息科技大学</w:t>
      </w:r>
    </w:p>
    <w:p>
      <w:pPr>
        <w:spacing w:line="669" w:lineRule="exact" w:before="0"/>
        <w:ind w:left="0" w:right="145" w:firstLine="0"/>
        <w:jc w:val="center"/>
        <w:rPr>
          <w:rFonts w:ascii="方正小标宋简体" w:eastAsia="方正小标宋简体" w:hint="eastAsia"/>
          <w:sz w:val="44"/>
        </w:rPr>
      </w:pPr>
      <w:r>
        <w:rPr>
          <w:rFonts w:ascii="方正小标宋简体" w:eastAsia="方正小标宋简体" w:hint="eastAsia"/>
          <w:sz w:val="44"/>
        </w:rPr>
        <w:t>无形资产管理办法（试行）</w:t>
      </w:r>
    </w:p>
    <w:p>
      <w:pPr>
        <w:pStyle w:val="BodyText"/>
        <w:spacing w:before="12"/>
        <w:ind w:left="0"/>
        <w:rPr>
          <w:rFonts w:ascii="方正小标宋简体"/>
          <w:sz w:val="39"/>
        </w:rPr>
      </w:pPr>
    </w:p>
    <w:p>
      <w:pPr>
        <w:pStyle w:val="BodyText"/>
        <w:tabs>
          <w:tab w:pos="1281" w:val="left" w:leader="none"/>
          <w:tab w:pos="1920" w:val="left" w:leader="none"/>
        </w:tabs>
        <w:ind w:left="0" w:right="140"/>
        <w:jc w:val="center"/>
        <w:rPr>
          <w:rFonts w:ascii="黑体" w:eastAsia="黑体" w:hint="eastAsia"/>
        </w:rPr>
      </w:pPr>
      <w:r>
        <w:rPr>
          <w:rFonts w:ascii="黑体" w:eastAsia="黑体" w:hint="eastAsia"/>
        </w:rPr>
        <w:t>第一章</w:t>
        <w:tab/>
        <w:t>总</w:t>
        <w:tab/>
        <w:t>则</w:t>
      </w:r>
    </w:p>
    <w:p>
      <w:pPr>
        <w:pStyle w:val="BodyText"/>
        <w:spacing w:before="1"/>
        <w:ind w:left="0"/>
        <w:rPr>
          <w:rFonts w:ascii="黑体"/>
          <w:sz w:val="24"/>
        </w:rPr>
      </w:pPr>
    </w:p>
    <w:p>
      <w:pPr>
        <w:pStyle w:val="BodyText"/>
        <w:spacing w:line="326" w:lineRule="auto"/>
        <w:ind w:right="269" w:firstLine="640"/>
        <w:jc w:val="both"/>
      </w:pPr>
      <w:r>
        <w:rPr>
          <w:spacing w:val="-4"/>
        </w:rPr>
        <w:t>第一条 为加强学校无形资产管理，维护学校权益，防止无</w:t>
      </w:r>
      <w:r>
        <w:rPr>
          <w:spacing w:val="-10"/>
        </w:rPr>
        <w:t>形资产流失，提高无形资产的使用效益，根据《事业单位国有资产管理暂行办法</w:t>
      </w:r>
      <w:r>
        <w:rPr>
          <w:spacing w:val="-200"/>
        </w:rPr>
        <w:t>》</w:t>
      </w:r>
      <w:r>
        <w:rPr/>
        <w:t>（</w:t>
      </w:r>
      <w:r>
        <w:rPr>
          <w:spacing w:val="-14"/>
        </w:rPr>
        <w:t>财政部令第 </w:t>
      </w:r>
      <w:r>
        <w:rPr/>
        <w:t>36</w:t>
      </w:r>
      <w:r>
        <w:rPr>
          <w:spacing w:val="-42"/>
        </w:rPr>
        <w:t> 号</w:t>
      </w:r>
      <w:r>
        <w:rPr>
          <w:spacing w:val="-39"/>
        </w:rPr>
        <w:t>）</w:t>
      </w:r>
      <w:r>
        <w:rPr>
          <w:spacing w:val="-15"/>
        </w:rPr>
        <w:t>及《政府会计准则第 </w:t>
      </w:r>
      <w:r>
        <w:rPr/>
        <w:t>4</w:t>
      </w:r>
      <w:r>
        <w:rPr>
          <w:spacing w:val="-47"/>
        </w:rPr>
        <w:t> 号</w:t>
      </w:r>
    </w:p>
    <w:p>
      <w:pPr>
        <w:pStyle w:val="BodyText"/>
        <w:spacing w:line="326" w:lineRule="auto" w:before="7"/>
        <w:ind w:right="271"/>
        <w:jc w:val="both"/>
      </w:pPr>
      <w:r>
        <w:rPr>
          <w:spacing w:val="-28"/>
        </w:rPr>
        <w:t>—无形资产》</w:t>
      </w:r>
      <w:r>
        <w:rPr/>
        <w:t>（</w:t>
      </w:r>
      <w:r>
        <w:rPr>
          <w:spacing w:val="-2"/>
        </w:rPr>
        <w:t>财会„</w:t>
      </w:r>
      <w:r>
        <w:rPr/>
        <w:t>2016‟12</w:t>
      </w:r>
      <w:r>
        <w:rPr>
          <w:spacing w:val="-47"/>
        </w:rPr>
        <w:t> 号</w:t>
      </w:r>
      <w:r>
        <w:rPr>
          <w:spacing w:val="-5"/>
        </w:rPr>
        <w:t>）</w:t>
      </w:r>
      <w:r>
        <w:rPr>
          <w:spacing w:val="-3"/>
        </w:rPr>
        <w:t>的有关规定，结合我校实际</w:t>
      </w:r>
      <w:r>
        <w:rPr/>
        <w:t>情况，制定本办法。</w:t>
      </w:r>
    </w:p>
    <w:p>
      <w:pPr>
        <w:pStyle w:val="BodyText"/>
        <w:spacing w:line="328" w:lineRule="auto" w:before="3"/>
        <w:ind w:right="274" w:firstLine="640"/>
        <w:jc w:val="both"/>
      </w:pPr>
      <w:r>
        <w:rPr>
          <w:spacing w:val="-2"/>
        </w:rPr>
        <w:t>第二条 本办法适用于学校所属各部门，以及以学校名义设</w:t>
      </w:r>
      <w:r>
        <w:rPr>
          <w:spacing w:val="-12"/>
        </w:rPr>
        <w:t>立的各种机构。学校无形资产管理相关部门可根据本办法另行制</w:t>
      </w:r>
      <w:r>
        <w:rPr/>
        <w:t>定所辖无形资产管理的实施细则。</w:t>
      </w:r>
    </w:p>
    <w:p>
      <w:pPr>
        <w:pStyle w:val="BodyText"/>
        <w:spacing w:line="328" w:lineRule="auto"/>
        <w:ind w:right="274" w:firstLine="640"/>
        <w:jc w:val="both"/>
      </w:pPr>
      <w:r>
        <w:rPr>
          <w:spacing w:val="5"/>
        </w:rPr>
        <w:t>第三条 学校无形资产是指学校所拥有的没有实物形态的</w:t>
      </w:r>
      <w:r>
        <w:rPr>
          <w:spacing w:val="-9"/>
        </w:rPr>
        <w:t>可辨认非货币性资产，包括专利权、商标权、著作权、非专利技</w:t>
      </w:r>
      <w:r>
        <w:rPr>
          <w:spacing w:val="-13"/>
        </w:rPr>
        <w:t>术、土地使用权、特许经营权、校名校誉和与其相关的一切财产</w:t>
      </w:r>
      <w:r>
        <w:rPr/>
        <w:t>权利。</w:t>
      </w:r>
    </w:p>
    <w:p>
      <w:pPr>
        <w:pStyle w:val="BodyText"/>
        <w:spacing w:line="326" w:lineRule="auto"/>
        <w:ind w:right="269" w:firstLine="801"/>
      </w:pPr>
      <w:r>
        <w:rPr/>
        <w:t>购入的不构成相关硬件不可缺少组成部分的应用软件作为无形资产管理。</w:t>
      </w:r>
    </w:p>
    <w:p>
      <w:pPr>
        <w:pStyle w:val="BodyText"/>
        <w:tabs>
          <w:tab w:pos="2166" w:val="left" w:leader="none"/>
        </w:tabs>
        <w:spacing w:line="328" w:lineRule="auto"/>
        <w:ind w:right="110" w:firstLine="755"/>
      </w:pPr>
      <w:r>
        <w:rPr/>
        <w:t>第四条</w:t>
        <w:tab/>
        <w:t>学校无形资产管理的主要任务是</w:t>
      </w:r>
      <w:r>
        <w:rPr>
          <w:spacing w:val="-73"/>
        </w:rPr>
        <w:t>：</w:t>
      </w:r>
      <w:r>
        <w:rPr/>
        <w:t>完善管理体制</w:t>
      </w:r>
      <w:r>
        <w:rPr>
          <w:spacing w:val="-14"/>
        </w:rPr>
        <w:t>， </w:t>
      </w:r>
      <w:r>
        <w:rPr/>
        <w:t>建立健全各项规章制度</w:t>
      </w:r>
      <w:r>
        <w:rPr>
          <w:spacing w:val="-37"/>
        </w:rPr>
        <w:t>；</w:t>
      </w:r>
      <w:r>
        <w:rPr/>
        <w:t>明晰产权关系</w:t>
      </w:r>
      <w:r>
        <w:rPr>
          <w:spacing w:val="-37"/>
        </w:rPr>
        <w:t>，</w:t>
      </w:r>
      <w:r>
        <w:rPr/>
        <w:t>实施产权管理</w:t>
      </w:r>
      <w:r>
        <w:rPr>
          <w:spacing w:val="-37"/>
        </w:rPr>
        <w:t>；</w:t>
      </w:r>
      <w:r>
        <w:rPr/>
        <w:t>规范无形资产处置行为</w:t>
      </w:r>
      <w:r>
        <w:rPr>
          <w:spacing w:val="-56"/>
        </w:rPr>
        <w:t>，</w:t>
      </w:r>
      <w:r>
        <w:rPr/>
        <w:t>保障无形资产的安全和完整</w:t>
      </w:r>
      <w:r>
        <w:rPr>
          <w:spacing w:val="-58"/>
        </w:rPr>
        <w:t>；</w:t>
      </w:r>
      <w:r>
        <w:rPr/>
        <w:t>促进无形资产的开发和使用</w:t>
      </w:r>
      <w:r>
        <w:rPr>
          <w:spacing w:val="-58"/>
        </w:rPr>
        <w:t>，</w:t>
      </w:r>
      <w:r>
        <w:rPr/>
        <w:t>提高无形资产的经济效益</w:t>
      </w:r>
      <w:r>
        <w:rPr>
          <w:spacing w:val="-56"/>
        </w:rPr>
        <w:t>；</w:t>
      </w:r>
      <w:r>
        <w:rPr/>
        <w:t>监管经营性无形资产保</w:t>
      </w:r>
    </w:p>
    <w:p>
      <w:pPr>
        <w:spacing w:after="0" w:line="328" w:lineRule="auto"/>
        <w:sectPr>
          <w:pgSz w:w="11910" w:h="16840"/>
          <w:pgMar w:header="0" w:footer="1114" w:top="1580" w:bottom="1300" w:left="1460" w:right="1200"/>
        </w:sectPr>
      </w:pPr>
    </w:p>
    <w:p>
      <w:pPr>
        <w:pStyle w:val="BodyText"/>
        <w:ind w:left="0"/>
        <w:rPr>
          <w:sz w:val="20"/>
        </w:rPr>
      </w:pPr>
    </w:p>
    <w:p>
      <w:pPr>
        <w:pStyle w:val="BodyText"/>
        <w:spacing w:before="10"/>
        <w:ind w:left="0"/>
        <w:rPr>
          <w:sz w:val="24"/>
        </w:rPr>
      </w:pPr>
    </w:p>
    <w:p>
      <w:pPr>
        <w:pStyle w:val="BodyText"/>
        <w:spacing w:before="54"/>
      </w:pPr>
      <w:r>
        <w:rPr/>
        <w:t>值增值。</w:t>
      </w:r>
    </w:p>
    <w:p>
      <w:pPr>
        <w:pStyle w:val="BodyText"/>
        <w:tabs>
          <w:tab w:pos="2051" w:val="left" w:leader="none"/>
        </w:tabs>
        <w:spacing w:line="328" w:lineRule="auto" w:before="150"/>
        <w:ind w:right="159" w:firstLine="640"/>
      </w:pPr>
      <w:r>
        <w:rPr/>
        <w:t>第五条</w:t>
        <w:tab/>
        <w:t>学校无形资产管理的主要内容是</w:t>
      </w:r>
      <w:r>
        <w:rPr>
          <w:spacing w:val="-113"/>
        </w:rPr>
        <w:t>：</w:t>
      </w:r>
      <w:r>
        <w:rPr/>
        <w:t>无形资产的范围界定、分类和入账价值的确认和计量；无形资产的增加、使用</w:t>
      </w:r>
      <w:r>
        <w:rPr>
          <w:spacing w:val="-16"/>
        </w:rPr>
        <w:t>、</w:t>
      </w:r>
      <w:r>
        <w:rPr/>
        <w:t>处置</w:t>
      </w:r>
      <w:r>
        <w:rPr>
          <w:spacing w:val="-39"/>
        </w:rPr>
        <w:t>；</w:t>
      </w:r>
      <w:r>
        <w:rPr/>
        <w:t>无形资产的清查盘点</w:t>
      </w:r>
      <w:r>
        <w:rPr>
          <w:spacing w:val="-39"/>
        </w:rPr>
        <w:t>；</w:t>
      </w:r>
      <w:r>
        <w:rPr/>
        <w:t>无形资产的账务处理</w:t>
      </w:r>
      <w:r>
        <w:rPr>
          <w:spacing w:val="-39"/>
        </w:rPr>
        <w:t>；</w:t>
      </w:r>
      <w:r>
        <w:rPr/>
        <w:t>无形资产产权收益管理等。</w:t>
      </w:r>
    </w:p>
    <w:p>
      <w:pPr>
        <w:pStyle w:val="BodyText"/>
        <w:tabs>
          <w:tab w:pos="1281" w:val="left" w:leader="none"/>
        </w:tabs>
        <w:spacing w:before="151"/>
        <w:ind w:left="0" w:right="143"/>
        <w:jc w:val="center"/>
        <w:rPr>
          <w:rFonts w:ascii="黑体" w:eastAsia="黑体" w:hint="eastAsia"/>
        </w:rPr>
      </w:pPr>
      <w:r>
        <w:rPr>
          <w:rFonts w:ascii="黑体" w:eastAsia="黑体" w:hint="eastAsia"/>
        </w:rPr>
        <w:t>第二章</w:t>
        <w:tab/>
        <w:t>无形资产的界定与内容</w:t>
      </w:r>
    </w:p>
    <w:p>
      <w:pPr>
        <w:pStyle w:val="BodyText"/>
        <w:spacing w:before="10"/>
        <w:ind w:left="0"/>
        <w:rPr>
          <w:rFonts w:ascii="黑体"/>
          <w:sz w:val="23"/>
        </w:rPr>
      </w:pPr>
    </w:p>
    <w:p>
      <w:pPr>
        <w:pStyle w:val="BodyText"/>
        <w:tabs>
          <w:tab w:pos="2051" w:val="left" w:leader="none"/>
        </w:tabs>
        <w:ind w:left="770"/>
      </w:pPr>
      <w:r>
        <w:rPr/>
        <w:t>第六条</w:t>
        <w:tab/>
        <w:t>学校无形资产应满足下列条件：</w:t>
      </w:r>
    </w:p>
    <w:p>
      <w:pPr>
        <w:pStyle w:val="BodyText"/>
        <w:spacing w:line="326" w:lineRule="auto" w:before="152"/>
        <w:ind w:right="272" w:firstLine="640"/>
      </w:pPr>
      <w:r>
        <w:rPr/>
        <w:t>（一</w:t>
      </w:r>
      <w:r>
        <w:rPr>
          <w:spacing w:val="-58"/>
        </w:rPr>
        <w:t>）</w:t>
      </w:r>
      <w:r>
        <w:rPr>
          <w:spacing w:val="-6"/>
        </w:rPr>
        <w:t>具有使学校获取效益的功能，并且发挥其功能的能力</w:t>
      </w:r>
      <w:r>
        <w:rPr/>
        <w:t>能够被证实；</w:t>
      </w:r>
    </w:p>
    <w:p>
      <w:pPr>
        <w:pStyle w:val="BodyText"/>
        <w:spacing w:before="3"/>
        <w:ind w:left="770"/>
      </w:pPr>
      <w:r>
        <w:rPr/>
        <w:t>（二）取得该资产的成本能够计量。</w:t>
      </w:r>
    </w:p>
    <w:p>
      <w:pPr>
        <w:pStyle w:val="BodyText"/>
        <w:tabs>
          <w:tab w:pos="2051" w:val="left" w:leader="none"/>
        </w:tabs>
        <w:spacing w:line="326" w:lineRule="auto" w:before="152"/>
        <w:ind w:right="159" w:firstLine="640"/>
      </w:pPr>
      <w:r>
        <w:rPr/>
        <w:t>第七条</w:t>
        <w:tab/>
        <w:t>学校外购和自创形成的无形资产，通过接受捐赠</w:t>
      </w:r>
      <w:r>
        <w:rPr>
          <w:spacing w:val="-16"/>
        </w:rPr>
        <w:t>、</w:t>
      </w:r>
      <w:r>
        <w:rPr/>
        <w:t>调拨等形式取得的无形资产</w:t>
      </w:r>
      <w:r>
        <w:rPr>
          <w:spacing w:val="-116"/>
        </w:rPr>
        <w:t>，</w:t>
      </w:r>
      <w:r>
        <w:rPr/>
        <w:t>以及依据国家法律法规或者依合同约定应界定为学校所有的无形资产，其所有权属于学校。</w:t>
      </w:r>
    </w:p>
    <w:p>
      <w:pPr>
        <w:pStyle w:val="BodyText"/>
        <w:tabs>
          <w:tab w:pos="2166" w:val="left" w:leader="none"/>
        </w:tabs>
        <w:spacing w:before="7"/>
        <w:ind w:left="885"/>
      </w:pPr>
      <w:r>
        <w:rPr/>
        <w:t>第八条</w:t>
        <w:tab/>
        <w:t>学校无形资产主要包括：</w:t>
      </w:r>
    </w:p>
    <w:p>
      <w:pPr>
        <w:pStyle w:val="BodyText"/>
        <w:spacing w:line="326" w:lineRule="auto" w:before="150"/>
        <w:ind w:right="272" w:firstLine="640"/>
      </w:pPr>
      <w:r>
        <w:rPr/>
        <w:t>（一</w:t>
      </w:r>
      <w:r>
        <w:rPr>
          <w:spacing w:val="-39"/>
        </w:rPr>
        <w:t>）</w:t>
      </w:r>
      <w:r>
        <w:rPr>
          <w:spacing w:val="-9"/>
        </w:rPr>
        <w:t>专利权：依法界定学校为专利权人的，在法定期限内</w:t>
      </w:r>
      <w:r>
        <w:rPr>
          <w:w w:val="99"/>
        </w:rPr>
        <w:t>为学校所占有或专有的各种发明创造（职务发明</w:t>
      </w:r>
      <w:r>
        <w:rPr>
          <w:spacing w:val="-161"/>
          <w:w w:val="99"/>
        </w:rPr>
        <w:t>）</w:t>
      </w:r>
      <w:r>
        <w:rPr>
          <w:w w:val="99"/>
        </w:rPr>
        <w:t>；</w:t>
      </w:r>
    </w:p>
    <w:p>
      <w:pPr>
        <w:pStyle w:val="BodyText"/>
        <w:spacing w:line="326" w:lineRule="auto" w:before="6"/>
        <w:ind w:right="272" w:firstLine="640"/>
      </w:pPr>
      <w:r>
        <w:rPr/>
        <w:t>（二</w:t>
      </w:r>
      <w:r>
        <w:rPr>
          <w:spacing w:val="-39"/>
        </w:rPr>
        <w:t>）</w:t>
      </w:r>
      <w:r>
        <w:rPr>
          <w:spacing w:val="-10"/>
        </w:rPr>
        <w:t>商标权：以学校名义申请注册的，一定期限内在指定</w:t>
      </w:r>
      <w:r>
        <w:rPr/>
        <w:t>的物品上使用特定的名称、图案、标记的权利；</w:t>
      </w:r>
    </w:p>
    <w:p>
      <w:pPr>
        <w:pStyle w:val="BodyText"/>
        <w:spacing w:line="328" w:lineRule="auto" w:before="3"/>
        <w:ind w:right="273" w:firstLine="640"/>
        <w:jc w:val="both"/>
      </w:pPr>
      <w:r>
        <w:rPr>
          <w:spacing w:val="2"/>
          <w:w w:val="99"/>
        </w:rPr>
        <w:t>（三）著作权（</w:t>
      </w:r>
      <w:r>
        <w:rPr>
          <w:spacing w:val="3"/>
          <w:w w:val="99"/>
        </w:rPr>
        <w:t>版权</w:t>
      </w:r>
      <w:r>
        <w:rPr>
          <w:spacing w:val="-159"/>
          <w:w w:val="99"/>
        </w:rPr>
        <w:t>）</w:t>
      </w:r>
      <w:r>
        <w:rPr>
          <w:spacing w:val="1"/>
          <w:w w:val="99"/>
        </w:rPr>
        <w:t>：依法界定学校为著作权人的文学艺</w:t>
      </w:r>
      <w:r>
        <w:rPr>
          <w:spacing w:val="-11"/>
        </w:rPr>
        <w:t>术创作、科学著作、音像制品、图纸、模型、计算机软件、在线</w:t>
      </w:r>
      <w:r>
        <w:rPr/>
        <w:t>课程等，学校享有出版、发行等方面的专有权利；</w:t>
      </w:r>
    </w:p>
    <w:p>
      <w:pPr>
        <w:pStyle w:val="BodyText"/>
        <w:spacing w:line="405" w:lineRule="exact"/>
        <w:ind w:left="770"/>
      </w:pPr>
      <w:r>
        <w:rPr>
          <w:spacing w:val="2"/>
          <w:w w:val="99"/>
        </w:rPr>
        <w:t>（</w:t>
      </w:r>
      <w:r>
        <w:rPr>
          <w:w w:val="99"/>
        </w:rPr>
        <w:t>四</w:t>
      </w:r>
      <w:r>
        <w:rPr>
          <w:spacing w:val="-29"/>
          <w:w w:val="99"/>
        </w:rPr>
        <w:t>）</w:t>
      </w:r>
      <w:r>
        <w:rPr>
          <w:spacing w:val="-8"/>
          <w:w w:val="99"/>
        </w:rPr>
        <w:t>专有技术</w:t>
      </w:r>
      <w:r>
        <w:rPr>
          <w:spacing w:val="2"/>
          <w:w w:val="99"/>
        </w:rPr>
        <w:t>（</w:t>
      </w:r>
      <w:r>
        <w:rPr>
          <w:w w:val="99"/>
        </w:rPr>
        <w:t>非专利技术</w:t>
      </w:r>
      <w:r>
        <w:rPr>
          <w:spacing w:val="-161"/>
          <w:w w:val="99"/>
        </w:rPr>
        <w:t>）</w:t>
      </w:r>
      <w:r>
        <w:rPr>
          <w:spacing w:val="-7"/>
          <w:w w:val="99"/>
        </w:rPr>
        <w:t>：由学校独有的、不公开的、</w:t>
      </w:r>
    </w:p>
    <w:p>
      <w:pPr>
        <w:spacing w:after="0" w:line="405" w:lineRule="exact"/>
        <w:sectPr>
          <w:pgSz w:w="11910" w:h="16840"/>
          <w:pgMar w:header="0" w:footer="1114" w:top="1580" w:bottom="1300" w:left="1460" w:right="1200"/>
        </w:sectPr>
      </w:pPr>
    </w:p>
    <w:p>
      <w:pPr>
        <w:pStyle w:val="BodyText"/>
        <w:ind w:left="0"/>
        <w:rPr>
          <w:sz w:val="20"/>
        </w:rPr>
      </w:pPr>
    </w:p>
    <w:p>
      <w:pPr>
        <w:pStyle w:val="BodyText"/>
        <w:spacing w:before="10"/>
        <w:ind w:left="0"/>
        <w:rPr>
          <w:sz w:val="24"/>
        </w:rPr>
      </w:pPr>
    </w:p>
    <w:p>
      <w:pPr>
        <w:pStyle w:val="BodyText"/>
        <w:spacing w:before="54"/>
      </w:pPr>
      <w:r>
        <w:rPr>
          <w:spacing w:val="-26"/>
        </w:rPr>
        <w:t>具有实用价值的先进技术、科研成果、资料、技能、知识、数据等；</w:t>
      </w:r>
    </w:p>
    <w:p>
      <w:pPr>
        <w:pStyle w:val="BodyText"/>
        <w:spacing w:line="328" w:lineRule="auto" w:before="150"/>
        <w:ind w:right="272" w:firstLine="640"/>
        <w:jc w:val="both"/>
      </w:pPr>
      <w:r>
        <w:rPr/>
        <w:t>（五</w:t>
      </w:r>
      <w:r>
        <w:rPr>
          <w:spacing w:val="-39"/>
        </w:rPr>
        <w:t>）</w:t>
      </w:r>
      <w:r>
        <w:rPr>
          <w:spacing w:val="-9"/>
        </w:rPr>
        <w:t>土地使用权：学校依法有偿取得的土地使用权，视为</w:t>
      </w:r>
      <w:r>
        <w:rPr>
          <w:spacing w:val="-11"/>
        </w:rPr>
        <w:t>学校的无形资产。国家土地管理部门无偿划拨的，专门用于与教</w:t>
      </w:r>
      <w:r>
        <w:rPr/>
        <w:t>育事业活动有关的土地使用权，一般不作为无形资产；</w:t>
      </w:r>
    </w:p>
    <w:p>
      <w:pPr>
        <w:pStyle w:val="BodyText"/>
        <w:spacing w:line="328" w:lineRule="auto"/>
        <w:ind w:right="272" w:firstLine="640"/>
        <w:jc w:val="both"/>
      </w:pPr>
      <w:r>
        <w:rPr/>
        <w:t>（六</w:t>
      </w:r>
      <w:r>
        <w:rPr>
          <w:spacing w:val="-58"/>
        </w:rPr>
        <w:t>）</w:t>
      </w:r>
      <w:r>
        <w:rPr>
          <w:spacing w:val="-9"/>
        </w:rPr>
        <w:t>特许经营权：学校所属经济实体在某一地区经营或销</w:t>
      </w:r>
      <w:r>
        <w:rPr>
          <w:spacing w:val="-10"/>
        </w:rPr>
        <w:t>售某种特定商品的权利，或是依法取得使用他人商标、专利技术</w:t>
      </w:r>
      <w:r>
        <w:rPr/>
        <w:t>的权利；</w:t>
      </w:r>
    </w:p>
    <w:p>
      <w:pPr>
        <w:pStyle w:val="BodyText"/>
        <w:spacing w:line="328" w:lineRule="auto"/>
        <w:ind w:right="269" w:firstLine="640"/>
        <w:jc w:val="both"/>
      </w:pPr>
      <w:r>
        <w:rPr/>
        <w:t>（七</w:t>
      </w:r>
      <w:r>
        <w:rPr>
          <w:spacing w:val="-39"/>
        </w:rPr>
        <w:t>）</w:t>
      </w:r>
      <w:r>
        <w:rPr>
          <w:spacing w:val="-9"/>
        </w:rPr>
        <w:t>校名校誉：学校由于具有较高的社会信誉，或在某些</w:t>
      </w:r>
      <w:r>
        <w:rPr>
          <w:spacing w:val="-11"/>
        </w:rPr>
        <w:t>方面有一定的优势，使得学校的某些特定标志物具有为使用者带</w:t>
      </w:r>
      <w:r>
        <w:rPr/>
        <w:t>来较多经济利益的能力。</w:t>
      </w:r>
    </w:p>
    <w:p>
      <w:pPr>
        <w:pStyle w:val="BodyText"/>
        <w:spacing w:line="328" w:lineRule="auto"/>
        <w:ind w:right="274" w:firstLine="640"/>
      </w:pPr>
      <w:r>
        <w:rPr/>
        <w:t>（八</w:t>
      </w:r>
      <w:r>
        <w:rPr>
          <w:spacing w:val="-116"/>
        </w:rPr>
        <w:t>）</w:t>
      </w:r>
      <w:r>
        <w:rPr>
          <w:spacing w:val="-1"/>
        </w:rPr>
        <w:t>依据国家法律法规或者依合同约定应界定为学校所有</w:t>
      </w:r>
      <w:r>
        <w:rPr/>
        <w:t>的其它无形资产。</w:t>
      </w:r>
    </w:p>
    <w:p>
      <w:pPr>
        <w:pStyle w:val="BodyText"/>
        <w:tabs>
          <w:tab w:pos="1282" w:val="left" w:leader="none"/>
        </w:tabs>
        <w:spacing w:before="139"/>
        <w:ind w:left="0" w:right="141"/>
        <w:jc w:val="center"/>
        <w:rPr>
          <w:rFonts w:ascii="黑体" w:eastAsia="黑体" w:hint="eastAsia"/>
        </w:rPr>
      </w:pPr>
      <w:r>
        <w:rPr>
          <w:rFonts w:ascii="黑体" w:eastAsia="黑体" w:hint="eastAsia"/>
        </w:rPr>
        <w:t>第三章</w:t>
        <w:tab/>
        <w:t>无形资产管理体制、机构及职责</w:t>
      </w:r>
    </w:p>
    <w:p>
      <w:pPr>
        <w:pStyle w:val="BodyText"/>
        <w:ind w:left="0"/>
        <w:rPr>
          <w:rFonts w:ascii="黑体"/>
          <w:sz w:val="24"/>
        </w:rPr>
      </w:pPr>
    </w:p>
    <w:p>
      <w:pPr>
        <w:pStyle w:val="BodyText"/>
        <w:tabs>
          <w:tab w:pos="2250" w:val="left" w:leader="none"/>
        </w:tabs>
        <w:spacing w:line="326" w:lineRule="auto"/>
        <w:ind w:right="159" w:firstLine="839"/>
      </w:pPr>
      <w:r>
        <w:rPr/>
        <w:t>第九条</w:t>
        <w:tab/>
        <w:t>学校无形资产作为学校资产的重要组成部分，实行“统一领导、归口管理、分级负责、责任到人”的管理体制</w:t>
      </w:r>
      <w:r>
        <w:rPr>
          <w:spacing w:val="-16"/>
        </w:rPr>
        <w:t>。</w:t>
      </w:r>
    </w:p>
    <w:p>
      <w:pPr>
        <w:pStyle w:val="BodyText"/>
        <w:tabs>
          <w:tab w:pos="2051" w:val="left" w:leader="none"/>
        </w:tabs>
        <w:spacing w:line="328" w:lineRule="auto" w:before="3"/>
        <w:ind w:right="159" w:firstLine="640"/>
      </w:pPr>
      <w:r>
        <w:rPr/>
        <w:t>第十条</w:t>
        <w:tab/>
        <w:t>学校成立无形资产管理委员会，组长由校长担任</w:t>
      </w:r>
      <w:r>
        <w:rPr>
          <w:spacing w:val="-16"/>
        </w:rPr>
        <w:t>， </w:t>
      </w:r>
      <w:r>
        <w:rPr/>
        <w:t>副组长由分管资</w:t>
      </w:r>
      <w:r>
        <w:rPr>
          <w:spacing w:val="3"/>
        </w:rPr>
        <w:t>产</w:t>
      </w:r>
      <w:r>
        <w:rPr/>
        <w:t>管理工作的副校长担任</w:t>
      </w:r>
      <w:r>
        <w:rPr>
          <w:spacing w:val="-58"/>
        </w:rPr>
        <w:t>，</w:t>
      </w:r>
      <w:r>
        <w:rPr/>
        <w:t>成员包括党校办</w:t>
      </w:r>
      <w:r>
        <w:rPr>
          <w:spacing w:val="-58"/>
        </w:rPr>
        <w:t>、</w:t>
      </w:r>
      <w:r>
        <w:rPr/>
        <w:t>教务处</w:t>
      </w:r>
      <w:r>
        <w:rPr>
          <w:spacing w:val="-22"/>
        </w:rPr>
        <w:t>、</w:t>
      </w:r>
      <w:r>
        <w:rPr/>
        <w:t>科技处</w:t>
      </w:r>
      <w:r>
        <w:rPr>
          <w:spacing w:val="-24"/>
        </w:rPr>
        <w:t>、</w:t>
      </w:r>
      <w:r>
        <w:rPr/>
        <w:t>研究生院</w:t>
      </w:r>
      <w:r>
        <w:rPr>
          <w:spacing w:val="-24"/>
        </w:rPr>
        <w:t>、</w:t>
      </w:r>
      <w:r>
        <w:rPr/>
        <w:t>财务处</w:t>
      </w:r>
      <w:r>
        <w:rPr>
          <w:spacing w:val="-24"/>
        </w:rPr>
        <w:t>、</w:t>
      </w:r>
      <w:r>
        <w:rPr/>
        <w:t>继续教育学院</w:t>
      </w:r>
      <w:r>
        <w:rPr>
          <w:spacing w:val="-24"/>
        </w:rPr>
        <w:t>、</w:t>
      </w:r>
      <w:r>
        <w:rPr/>
        <w:t>资产管理处的部门负责人。</w:t>
      </w:r>
    </w:p>
    <w:p>
      <w:pPr>
        <w:pStyle w:val="BodyText"/>
        <w:spacing w:line="326" w:lineRule="auto"/>
        <w:ind w:right="273" w:firstLine="640"/>
        <w:jc w:val="both"/>
      </w:pPr>
      <w:r>
        <w:rPr>
          <w:spacing w:val="5"/>
        </w:rPr>
        <w:t>第十一条 学校无形资产管理委员会统筹协调无形资产管</w:t>
      </w:r>
      <w:r>
        <w:rPr>
          <w:spacing w:val="-12"/>
        </w:rPr>
        <w:t>理工作，负责审议无形资产管理制度与重大事项，必要时提请学</w:t>
      </w:r>
      <w:r>
        <w:rPr/>
        <w:t>校校长办公会或党委常委会审定。</w:t>
      </w:r>
    </w:p>
    <w:p>
      <w:pPr>
        <w:spacing w:after="0" w:line="326" w:lineRule="auto"/>
        <w:jc w:val="both"/>
        <w:sectPr>
          <w:pgSz w:w="11910" w:h="16840"/>
          <w:pgMar w:header="0" w:footer="1114" w:top="1580" w:bottom="1300" w:left="1460" w:right="1200"/>
        </w:sectPr>
      </w:pPr>
    </w:p>
    <w:p>
      <w:pPr>
        <w:pStyle w:val="BodyText"/>
        <w:ind w:left="0"/>
        <w:rPr>
          <w:sz w:val="20"/>
        </w:rPr>
      </w:pPr>
    </w:p>
    <w:p>
      <w:pPr>
        <w:pStyle w:val="BodyText"/>
        <w:spacing w:before="10"/>
        <w:ind w:left="0"/>
        <w:rPr>
          <w:sz w:val="24"/>
        </w:rPr>
      </w:pPr>
    </w:p>
    <w:p>
      <w:pPr>
        <w:pStyle w:val="BodyText"/>
        <w:tabs>
          <w:tab w:pos="2421" w:val="left" w:leader="none"/>
        </w:tabs>
        <w:spacing w:line="326" w:lineRule="auto" w:before="54"/>
        <w:ind w:right="114" w:firstLine="640"/>
      </w:pPr>
      <w:r>
        <w:rPr>
          <w:spacing w:val="9"/>
        </w:rPr>
        <w:t>第十二</w:t>
      </w:r>
      <w:r>
        <w:rPr/>
        <w:t>条</w:t>
        <w:tab/>
      </w:r>
      <w:r>
        <w:rPr>
          <w:spacing w:val="9"/>
        </w:rPr>
        <w:t>学</w:t>
      </w:r>
      <w:r>
        <w:rPr>
          <w:spacing w:val="7"/>
        </w:rPr>
        <w:t>校</w:t>
      </w:r>
      <w:r>
        <w:rPr>
          <w:spacing w:val="9"/>
        </w:rPr>
        <w:t>无形资产</w:t>
      </w:r>
      <w:r>
        <w:rPr>
          <w:spacing w:val="7"/>
        </w:rPr>
        <w:t>管</w:t>
      </w:r>
      <w:r>
        <w:rPr>
          <w:spacing w:val="9"/>
        </w:rPr>
        <w:t>理</w:t>
      </w:r>
      <w:r>
        <w:rPr>
          <w:spacing w:val="7"/>
        </w:rPr>
        <w:t>委</w:t>
      </w:r>
      <w:r>
        <w:rPr>
          <w:spacing w:val="9"/>
        </w:rPr>
        <w:t>员会办公</w:t>
      </w:r>
      <w:r>
        <w:rPr>
          <w:spacing w:val="7"/>
        </w:rPr>
        <w:t>室</w:t>
      </w:r>
      <w:r>
        <w:rPr>
          <w:spacing w:val="9"/>
        </w:rPr>
        <w:t>设</w:t>
      </w:r>
      <w:r>
        <w:rPr>
          <w:spacing w:val="7"/>
        </w:rPr>
        <w:t>在</w:t>
      </w:r>
      <w:r>
        <w:rPr>
          <w:spacing w:val="9"/>
        </w:rPr>
        <w:t>资产管</w:t>
      </w:r>
      <w:r>
        <w:rPr/>
        <w:t>理</w:t>
      </w:r>
      <w:r>
        <w:rPr>
          <w:w w:val="95"/>
        </w:rPr>
        <w:t>处</w:t>
      </w:r>
      <w:r>
        <w:rPr>
          <w:spacing w:val="-137"/>
          <w:w w:val="95"/>
        </w:rPr>
        <w:t>，</w:t>
      </w:r>
      <w:r>
        <w:rPr>
          <w:w w:val="95"/>
        </w:rPr>
        <w:t>具体负责学校无形资产统筹和监督管理工作</w:t>
      </w:r>
      <w:r>
        <w:rPr>
          <w:spacing w:val="-140"/>
          <w:w w:val="95"/>
        </w:rPr>
        <w:t>。</w:t>
      </w:r>
      <w:r>
        <w:rPr>
          <w:w w:val="95"/>
        </w:rPr>
        <w:t>其主要职责为</w:t>
      </w:r>
      <w:r>
        <w:rPr>
          <w:spacing w:val="-15"/>
          <w:w w:val="95"/>
        </w:rPr>
        <w:t>：</w:t>
      </w:r>
    </w:p>
    <w:p>
      <w:pPr>
        <w:pStyle w:val="BodyText"/>
        <w:spacing w:line="326" w:lineRule="auto" w:before="6"/>
        <w:ind w:left="971" w:right="112" w:hanging="15"/>
      </w:pPr>
      <w:r>
        <w:rPr>
          <w:spacing w:val="-20"/>
          <w:w w:val="95"/>
        </w:rPr>
        <w:t>(一)执行学校关于无形资产管理工作的决定，负责协调落实；  </w:t>
      </w:r>
      <w:r>
        <w:rPr>
          <w:spacing w:val="-20"/>
        </w:rPr>
        <w:t>(二)根据国家国有资产管理的政策法规，制定学校无形资</w:t>
      </w:r>
    </w:p>
    <w:p>
      <w:pPr>
        <w:pStyle w:val="BodyText"/>
        <w:spacing w:before="3"/>
      </w:pPr>
      <w:r>
        <w:rPr/>
        <w:t>产管理规章制度，建立健全无形资产的管理体系；</w:t>
      </w:r>
    </w:p>
    <w:p>
      <w:pPr>
        <w:pStyle w:val="BodyText"/>
        <w:spacing w:line="328" w:lineRule="auto" w:before="152"/>
        <w:ind w:right="272" w:firstLine="842"/>
        <w:jc w:val="both"/>
      </w:pPr>
      <w:r>
        <w:rPr>
          <w:spacing w:val="-1"/>
        </w:rPr>
        <w:t>(三)按照国有资产管理的要求，组织无形资产的清理清查</w:t>
      </w:r>
      <w:r>
        <w:rPr>
          <w:spacing w:val="-9"/>
        </w:rPr>
        <w:t>和相关信息的统计报送，协调并监督无形资产的登记、使用、评</w:t>
      </w:r>
      <w:r>
        <w:rPr>
          <w:spacing w:val="-12"/>
        </w:rPr>
        <w:t>估、处置等事项，对无形资产开发、投资和转让合同进行必要审</w:t>
      </w:r>
      <w:r>
        <w:rPr/>
        <w:t>核等；</w:t>
      </w:r>
    </w:p>
    <w:p>
      <w:pPr>
        <w:pStyle w:val="BodyText"/>
        <w:spacing w:line="326" w:lineRule="auto"/>
        <w:ind w:left="971" w:right="272" w:hanging="3"/>
      </w:pPr>
      <w:r>
        <w:rPr/>
        <w:t>(四)协调学校无形资产权属争议、侵权纠纷等法律事项； (五)组织无形资产管理法律法规及相关知识的宣传教育和</w:t>
      </w:r>
    </w:p>
    <w:p>
      <w:pPr>
        <w:pStyle w:val="BodyText"/>
      </w:pPr>
      <w:r>
        <w:rPr/>
        <w:t>培训工作。</w:t>
      </w:r>
    </w:p>
    <w:p>
      <w:pPr>
        <w:pStyle w:val="BodyText"/>
        <w:spacing w:before="148"/>
        <w:ind w:left="770"/>
      </w:pPr>
      <w:r>
        <w:rPr>
          <w:w w:val="95"/>
        </w:rPr>
        <w:t>（六）其他相关工作。</w:t>
      </w:r>
    </w:p>
    <w:p>
      <w:pPr>
        <w:pStyle w:val="BodyText"/>
        <w:tabs>
          <w:tab w:pos="2371" w:val="left" w:leader="none"/>
        </w:tabs>
        <w:spacing w:line="328" w:lineRule="auto" w:before="149"/>
        <w:ind w:right="477" w:firstLine="640"/>
      </w:pPr>
      <w:r>
        <w:rPr/>
        <w:t>第十三条</w:t>
        <w:tab/>
        <w:t>学校无形资产管理相关部门负责具体无形资</w:t>
      </w:r>
      <w:r>
        <w:rPr>
          <w:spacing w:val="-16"/>
        </w:rPr>
        <w:t>产</w:t>
      </w:r>
      <w:r>
        <w:rPr/>
        <w:t>业务管理。其主要职责是：</w:t>
      </w:r>
    </w:p>
    <w:p>
      <w:pPr>
        <w:pStyle w:val="BodyText"/>
        <w:spacing w:line="328" w:lineRule="auto"/>
        <w:ind w:right="272" w:firstLine="640"/>
      </w:pPr>
      <w:r>
        <w:rPr/>
        <w:t>（一</w:t>
      </w:r>
      <w:r>
        <w:rPr>
          <w:spacing w:val="-58"/>
        </w:rPr>
        <w:t>）</w:t>
      </w:r>
      <w:r>
        <w:rPr>
          <w:spacing w:val="-5"/>
        </w:rPr>
        <w:t>根据本办法制定具体的业务管理规范、标准及有关实</w:t>
      </w:r>
      <w:r>
        <w:rPr/>
        <w:t>施办法；</w:t>
      </w:r>
    </w:p>
    <w:p>
      <w:pPr>
        <w:pStyle w:val="BodyText"/>
        <w:spacing w:line="326" w:lineRule="auto"/>
        <w:ind w:right="159" w:firstLine="640"/>
      </w:pPr>
      <w:r>
        <w:rPr/>
        <w:t>（二）每年末全面清查盘点其管理或占有使用的无形资产， 建立无形资产台账，及时报告无形资产损失事件。</w:t>
      </w:r>
    </w:p>
    <w:p>
      <w:pPr>
        <w:pStyle w:val="BodyText"/>
        <w:spacing w:line="328" w:lineRule="auto"/>
        <w:ind w:right="272" w:firstLine="640"/>
        <w:jc w:val="both"/>
      </w:pPr>
      <w:r>
        <w:rPr/>
        <w:t>（三</w:t>
      </w:r>
      <w:r>
        <w:rPr>
          <w:spacing w:val="-29"/>
        </w:rPr>
        <w:t>）</w:t>
      </w:r>
      <w:r>
        <w:rPr>
          <w:spacing w:val="-5"/>
        </w:rPr>
        <w:t>根据使用部门</w:t>
      </w:r>
      <w:r>
        <w:rPr/>
        <w:t>（使用人</w:t>
      </w:r>
      <w:r>
        <w:rPr>
          <w:spacing w:val="-29"/>
        </w:rPr>
        <w:t>）</w:t>
      </w:r>
      <w:r>
        <w:rPr>
          <w:spacing w:val="-6"/>
        </w:rPr>
        <w:t>提出的申请，组织无形资产</w:t>
      </w:r>
      <w:r>
        <w:rPr>
          <w:spacing w:val="-8"/>
        </w:rPr>
        <w:t>技术鉴定和投资的可行性论证，办理无形资产增加、调剂、处置</w:t>
      </w:r>
      <w:r>
        <w:rPr/>
        <w:t>等审批手续。</w:t>
      </w:r>
    </w:p>
    <w:p>
      <w:pPr>
        <w:spacing w:after="0" w:line="328" w:lineRule="auto"/>
        <w:jc w:val="both"/>
        <w:sectPr>
          <w:pgSz w:w="11910" w:h="16840"/>
          <w:pgMar w:header="0" w:footer="1114" w:top="1580" w:bottom="1300" w:left="1460" w:right="1200"/>
        </w:sectPr>
      </w:pPr>
    </w:p>
    <w:p>
      <w:pPr>
        <w:pStyle w:val="BodyText"/>
        <w:ind w:left="0"/>
        <w:rPr>
          <w:sz w:val="20"/>
        </w:rPr>
      </w:pPr>
    </w:p>
    <w:p>
      <w:pPr>
        <w:pStyle w:val="BodyText"/>
        <w:spacing w:before="10"/>
        <w:ind w:left="0"/>
        <w:rPr>
          <w:sz w:val="24"/>
        </w:rPr>
      </w:pPr>
    </w:p>
    <w:p>
      <w:pPr>
        <w:pStyle w:val="BodyText"/>
        <w:tabs>
          <w:tab w:pos="2361" w:val="left" w:leader="none"/>
        </w:tabs>
        <w:spacing w:line="326" w:lineRule="auto" w:before="54"/>
        <w:ind w:left="760" w:right="166"/>
      </w:pPr>
      <w:r>
        <w:rPr/>
        <w:t>（四）负责所管辖无形资产的保护、监督和侵权受理工作</w:t>
      </w:r>
      <w:r>
        <w:rPr>
          <w:spacing w:val="-15"/>
        </w:rPr>
        <w:t>。</w:t>
      </w:r>
      <w:r>
        <w:rPr/>
        <w:t>第十四条</w:t>
        <w:tab/>
        <w:t>无形资产归口管理职能部门的主要分工如下：</w:t>
      </w:r>
    </w:p>
    <w:p>
      <w:pPr>
        <w:pStyle w:val="BodyText"/>
        <w:spacing w:before="6"/>
        <w:ind w:left="770"/>
      </w:pPr>
      <w:r>
        <w:rPr/>
        <w:t>（一）党委校长办公室：</w:t>
      </w:r>
    </w:p>
    <w:p>
      <w:pPr>
        <w:pStyle w:val="ListParagraph"/>
        <w:numPr>
          <w:ilvl w:val="0"/>
          <w:numId w:val="1"/>
        </w:numPr>
        <w:tabs>
          <w:tab w:pos="1092" w:val="left" w:leader="none"/>
        </w:tabs>
        <w:spacing w:line="240" w:lineRule="auto" w:before="149" w:after="0"/>
        <w:ind w:left="1091" w:right="0" w:hanging="322"/>
        <w:jc w:val="left"/>
        <w:rPr>
          <w:sz w:val="32"/>
        </w:rPr>
      </w:pPr>
      <w:r>
        <w:rPr>
          <w:sz w:val="32"/>
        </w:rPr>
        <w:t>负责对涉及校名、校誉、标识的使用进行管理；</w:t>
      </w:r>
    </w:p>
    <w:p>
      <w:pPr>
        <w:pStyle w:val="ListParagraph"/>
        <w:numPr>
          <w:ilvl w:val="0"/>
          <w:numId w:val="1"/>
        </w:numPr>
        <w:tabs>
          <w:tab w:pos="1092" w:val="left" w:leader="none"/>
        </w:tabs>
        <w:spacing w:line="240" w:lineRule="auto" w:before="149" w:after="0"/>
        <w:ind w:left="1091" w:right="0" w:hanging="322"/>
        <w:jc w:val="left"/>
        <w:rPr>
          <w:sz w:val="32"/>
        </w:rPr>
      </w:pPr>
      <w:r>
        <w:rPr>
          <w:sz w:val="32"/>
        </w:rPr>
        <w:t>参与处理无形资产权属争议、侵权纠纷等法律事项。</w:t>
      </w:r>
    </w:p>
    <w:p>
      <w:pPr>
        <w:pStyle w:val="BodyText"/>
        <w:spacing w:before="153"/>
        <w:ind w:left="770"/>
      </w:pPr>
      <w:r>
        <w:rPr>
          <w:spacing w:val="2"/>
          <w:w w:val="99"/>
        </w:rPr>
        <w:t>（</w:t>
      </w:r>
      <w:r>
        <w:rPr>
          <w:w w:val="99"/>
        </w:rPr>
        <w:t>二）科技处（</w:t>
      </w:r>
      <w:r>
        <w:rPr>
          <w:spacing w:val="1"/>
          <w:w w:val="99"/>
        </w:rPr>
        <w:t>产业办</w:t>
      </w:r>
      <w:r>
        <w:rPr>
          <w:spacing w:val="-161"/>
          <w:w w:val="99"/>
        </w:rPr>
        <w:t>）</w:t>
      </w:r>
      <w:r>
        <w:rPr>
          <w:w w:val="99"/>
        </w:rPr>
        <w:t>：</w:t>
      </w:r>
    </w:p>
    <w:p>
      <w:pPr>
        <w:pStyle w:val="ListParagraph"/>
        <w:numPr>
          <w:ilvl w:val="0"/>
          <w:numId w:val="2"/>
        </w:numPr>
        <w:tabs>
          <w:tab w:pos="1092" w:val="left" w:leader="none"/>
        </w:tabs>
        <w:spacing w:line="326" w:lineRule="auto" w:before="149" w:after="0"/>
        <w:ind w:left="129" w:right="274" w:firstLine="640"/>
        <w:jc w:val="left"/>
        <w:rPr>
          <w:sz w:val="32"/>
        </w:rPr>
      </w:pPr>
      <w:r>
        <w:rPr>
          <w:spacing w:val="-12"/>
          <w:sz w:val="32"/>
        </w:rPr>
        <w:t>负责专利技术、专有技术的管理及组织开展科技成果价值</w:t>
      </w:r>
      <w:r>
        <w:rPr>
          <w:sz w:val="32"/>
        </w:rPr>
        <w:t>评估，负责与科技成果相关著作权的管理；</w:t>
      </w:r>
    </w:p>
    <w:p>
      <w:pPr>
        <w:pStyle w:val="ListParagraph"/>
        <w:numPr>
          <w:ilvl w:val="0"/>
          <w:numId w:val="2"/>
        </w:numPr>
        <w:tabs>
          <w:tab w:pos="1092" w:val="left" w:leader="none"/>
        </w:tabs>
        <w:spacing w:line="240" w:lineRule="auto" w:before="5" w:after="0"/>
        <w:ind w:left="1091" w:right="0" w:hanging="322"/>
        <w:jc w:val="left"/>
        <w:rPr>
          <w:sz w:val="32"/>
        </w:rPr>
      </w:pPr>
      <w:r>
        <w:rPr>
          <w:sz w:val="32"/>
        </w:rPr>
        <w:t>负责产业办所属企业无形资产的经营与管理。</w:t>
      </w:r>
    </w:p>
    <w:p>
      <w:pPr>
        <w:pStyle w:val="BodyText"/>
        <w:spacing w:line="326" w:lineRule="auto" w:before="150"/>
        <w:ind w:right="270" w:firstLine="640"/>
      </w:pPr>
      <w:r>
        <w:rPr/>
        <w:t>（三</w:t>
      </w:r>
      <w:r>
        <w:rPr>
          <w:spacing w:val="-22"/>
        </w:rPr>
        <w:t>）</w:t>
      </w:r>
      <w:r>
        <w:rPr>
          <w:spacing w:val="-11"/>
        </w:rPr>
        <w:t>教务处、招生就业处、研究生院、国际交流学院、国</w:t>
      </w:r>
      <w:r>
        <w:rPr/>
        <w:t>际交流处、继续教育学院以及各学院、体育部：</w:t>
      </w:r>
    </w:p>
    <w:p>
      <w:pPr>
        <w:pStyle w:val="ListParagraph"/>
        <w:numPr>
          <w:ilvl w:val="0"/>
          <w:numId w:val="3"/>
        </w:numPr>
        <w:tabs>
          <w:tab w:pos="1092" w:val="left" w:leader="none"/>
        </w:tabs>
        <w:spacing w:line="326" w:lineRule="auto" w:before="6" w:after="0"/>
        <w:ind w:left="129" w:right="270" w:firstLine="640"/>
        <w:jc w:val="both"/>
        <w:rPr>
          <w:sz w:val="32"/>
        </w:rPr>
      </w:pPr>
      <w:r>
        <w:rPr>
          <w:spacing w:val="-10"/>
          <w:sz w:val="32"/>
        </w:rPr>
        <w:t>负责组织编写的教材、录制的在线课程、学生毕业论文或学位论文的著作权及使用权，学校出资开发或购买的各类计算机</w:t>
      </w:r>
      <w:r>
        <w:rPr>
          <w:sz w:val="32"/>
        </w:rPr>
        <w:t>软件著作权；</w:t>
      </w:r>
    </w:p>
    <w:p>
      <w:pPr>
        <w:pStyle w:val="ListParagraph"/>
        <w:numPr>
          <w:ilvl w:val="0"/>
          <w:numId w:val="3"/>
        </w:numPr>
        <w:tabs>
          <w:tab w:pos="1092" w:val="left" w:leader="none"/>
        </w:tabs>
        <w:spacing w:line="326" w:lineRule="auto" w:before="7" w:after="0"/>
        <w:ind w:left="129" w:right="272" w:firstLine="640"/>
        <w:jc w:val="left"/>
        <w:rPr>
          <w:sz w:val="32"/>
        </w:rPr>
      </w:pPr>
      <w:r>
        <w:rPr>
          <w:spacing w:val="-5"/>
          <w:sz w:val="32"/>
        </w:rPr>
        <w:t>负责以学校名义在国内及国</w:t>
      </w:r>
      <w:r>
        <w:rPr>
          <w:sz w:val="32"/>
        </w:rPr>
        <w:t>（境</w:t>
      </w:r>
      <w:r>
        <w:rPr>
          <w:spacing w:val="-58"/>
          <w:sz w:val="32"/>
        </w:rPr>
        <w:t>）</w:t>
      </w:r>
      <w:r>
        <w:rPr>
          <w:spacing w:val="-2"/>
          <w:sz w:val="32"/>
        </w:rPr>
        <w:t>外招收各类学生的招生</w:t>
      </w:r>
      <w:r>
        <w:rPr>
          <w:sz w:val="32"/>
        </w:rPr>
        <w:t>事项；</w:t>
      </w:r>
    </w:p>
    <w:p>
      <w:pPr>
        <w:pStyle w:val="ListParagraph"/>
        <w:numPr>
          <w:ilvl w:val="0"/>
          <w:numId w:val="3"/>
        </w:numPr>
        <w:tabs>
          <w:tab w:pos="1092" w:val="left" w:leader="none"/>
        </w:tabs>
        <w:spacing w:line="328" w:lineRule="auto" w:before="4" w:after="0"/>
        <w:ind w:left="129" w:right="274" w:firstLine="640"/>
        <w:jc w:val="left"/>
        <w:rPr>
          <w:sz w:val="32"/>
        </w:rPr>
      </w:pPr>
      <w:r>
        <w:rPr>
          <w:spacing w:val="-6"/>
          <w:sz w:val="32"/>
        </w:rPr>
        <w:t>负责以学校名义与国内外大学或企事业单位联合办学，联</w:t>
      </w:r>
      <w:r>
        <w:rPr>
          <w:sz w:val="32"/>
        </w:rPr>
        <w:t>合招收和培养学生；</w:t>
      </w:r>
    </w:p>
    <w:p>
      <w:pPr>
        <w:pStyle w:val="ListParagraph"/>
        <w:numPr>
          <w:ilvl w:val="0"/>
          <w:numId w:val="3"/>
        </w:numPr>
        <w:tabs>
          <w:tab w:pos="1092" w:val="left" w:leader="none"/>
        </w:tabs>
        <w:spacing w:line="407" w:lineRule="exact" w:before="0" w:after="0"/>
        <w:ind w:left="1091" w:right="0" w:hanging="322"/>
        <w:jc w:val="left"/>
        <w:rPr>
          <w:sz w:val="32"/>
        </w:rPr>
      </w:pPr>
      <w:r>
        <w:rPr>
          <w:sz w:val="32"/>
        </w:rPr>
        <w:t>负责制止未经许可以学校名义招收各类学生的行为。</w:t>
      </w:r>
    </w:p>
    <w:p>
      <w:pPr>
        <w:pStyle w:val="BodyText"/>
        <w:spacing w:line="328" w:lineRule="auto" w:before="149"/>
        <w:ind w:right="272" w:firstLine="640"/>
      </w:pPr>
      <w:r>
        <w:rPr/>
        <w:t>（四</w:t>
      </w:r>
      <w:r>
        <w:rPr>
          <w:spacing w:val="-39"/>
        </w:rPr>
        <w:t>）</w:t>
      </w:r>
      <w:r>
        <w:rPr>
          <w:spacing w:val="-9"/>
        </w:rPr>
        <w:t>宣传部：负责以学校名义发表的各类宣传报道、宣传</w:t>
      </w:r>
      <w:r>
        <w:rPr/>
        <w:t>思想工作领域的文献和作品等著作权的管理。</w:t>
      </w:r>
    </w:p>
    <w:p>
      <w:pPr>
        <w:pStyle w:val="BodyText"/>
        <w:spacing w:line="407" w:lineRule="exact"/>
        <w:ind w:left="770"/>
      </w:pPr>
      <w:r>
        <w:rPr/>
        <w:t>（五）财务处：负责学校无形资产的会计账务管理。</w:t>
      </w:r>
    </w:p>
    <w:p>
      <w:pPr>
        <w:spacing w:after="0" w:line="407" w:lineRule="exact"/>
        <w:sectPr>
          <w:pgSz w:w="11910" w:h="16840"/>
          <w:pgMar w:header="0" w:footer="1114" w:top="1580" w:bottom="1300" w:left="1460" w:right="1200"/>
        </w:sectPr>
      </w:pPr>
    </w:p>
    <w:p>
      <w:pPr>
        <w:pStyle w:val="BodyText"/>
        <w:ind w:left="0"/>
        <w:rPr>
          <w:sz w:val="20"/>
        </w:rPr>
      </w:pPr>
    </w:p>
    <w:p>
      <w:pPr>
        <w:pStyle w:val="BodyText"/>
        <w:spacing w:before="10"/>
        <w:ind w:left="0"/>
        <w:rPr>
          <w:sz w:val="24"/>
        </w:rPr>
      </w:pPr>
    </w:p>
    <w:p>
      <w:pPr>
        <w:pStyle w:val="BodyText"/>
        <w:spacing w:line="326" w:lineRule="auto" w:before="54"/>
        <w:ind w:right="103" w:firstLine="640"/>
      </w:pPr>
      <w:r>
        <w:rPr/>
        <w:t>（六</w:t>
      </w:r>
      <w:r>
        <w:rPr>
          <w:spacing w:val="-39"/>
        </w:rPr>
        <w:t>）</w:t>
      </w:r>
      <w:r>
        <w:rPr>
          <w:spacing w:val="-6"/>
        </w:rPr>
        <w:t>信息与网络管理中心：负责学校中英文域名、中文网</w:t>
      </w:r>
      <w:r>
        <w:rPr>
          <w:spacing w:val="-27"/>
          <w:w w:val="95"/>
        </w:rPr>
        <w:t>址、学校各信息化系统生成的数据资源等网络空间的无形资产管理。</w:t>
      </w:r>
    </w:p>
    <w:p>
      <w:pPr>
        <w:pStyle w:val="BodyText"/>
        <w:spacing w:before="6"/>
        <w:ind w:left="770"/>
      </w:pPr>
      <w:r>
        <w:rPr/>
        <w:t>（七）后勤管理处负责其所辖部门无形资产的管理。</w:t>
      </w:r>
    </w:p>
    <w:p>
      <w:pPr>
        <w:pStyle w:val="BodyText"/>
        <w:spacing w:line="326" w:lineRule="auto" w:before="149"/>
        <w:ind w:right="274" w:firstLine="640"/>
      </w:pPr>
      <w:r>
        <w:rPr/>
        <w:t>（八</w:t>
      </w:r>
      <w:r>
        <w:rPr>
          <w:spacing w:val="-116"/>
        </w:rPr>
        <w:t>）</w:t>
      </w:r>
      <w:r>
        <w:rPr>
          <w:spacing w:val="-1"/>
        </w:rPr>
        <w:t>其他部门和单位负责本部门本单位所辖域内的相关无</w:t>
      </w:r>
      <w:r>
        <w:rPr/>
        <w:t>形资产的管理。</w:t>
      </w:r>
    </w:p>
    <w:p>
      <w:pPr>
        <w:pStyle w:val="BodyText"/>
        <w:tabs>
          <w:tab w:pos="2371" w:val="left" w:leader="none"/>
        </w:tabs>
        <w:spacing w:line="326" w:lineRule="auto" w:before="6"/>
        <w:ind w:right="273" w:firstLine="640"/>
      </w:pPr>
      <w:r>
        <w:rPr/>
        <w:t>第十五条</w:t>
        <w:tab/>
        <w:t>按照分级管理的原则</w:t>
      </w:r>
      <w:r>
        <w:rPr>
          <w:spacing w:val="-116"/>
        </w:rPr>
        <w:t>，</w:t>
      </w:r>
      <w:r>
        <w:rPr/>
        <w:t>学校无形资产使用部门</w:t>
      </w:r>
      <w:r>
        <w:rPr>
          <w:spacing w:val="-15"/>
        </w:rPr>
        <w:t>负</w:t>
      </w:r>
      <w:r>
        <w:rPr/>
        <w:t>责对其使用的无形资产实施日常管理。其主要职责是：</w:t>
      </w:r>
    </w:p>
    <w:p>
      <w:pPr>
        <w:pStyle w:val="BodyText"/>
        <w:spacing w:line="328" w:lineRule="auto" w:before="4"/>
        <w:ind w:right="272" w:firstLine="640"/>
      </w:pPr>
      <w:r>
        <w:rPr/>
        <w:t>（一</w:t>
      </w:r>
      <w:r>
        <w:rPr>
          <w:spacing w:val="-58"/>
        </w:rPr>
        <w:t>）</w:t>
      </w:r>
      <w:r>
        <w:rPr>
          <w:spacing w:val="-7"/>
        </w:rPr>
        <w:t>建立无形资产使用台账，每年报告无形资产的日常使</w:t>
      </w:r>
      <w:r>
        <w:rPr/>
        <w:t>用情况。</w:t>
      </w:r>
    </w:p>
    <w:p>
      <w:pPr>
        <w:pStyle w:val="BodyText"/>
        <w:spacing w:line="328" w:lineRule="auto"/>
        <w:ind w:right="272" w:firstLine="640"/>
        <w:jc w:val="both"/>
      </w:pPr>
      <w:r>
        <w:rPr/>
        <w:t>（二</w:t>
      </w:r>
      <w:r>
        <w:rPr>
          <w:spacing w:val="-39"/>
        </w:rPr>
        <w:t>）</w:t>
      </w:r>
      <w:r>
        <w:rPr>
          <w:spacing w:val="-10"/>
        </w:rPr>
        <w:t>提出处置申请。出现以下情况，使用部门或个人应及</w:t>
      </w:r>
      <w:r>
        <w:rPr>
          <w:spacing w:val="6"/>
          <w:w w:val="95"/>
        </w:rPr>
        <w:t>时向归口管理部门和主管部门提出对无形资产进行重新评估的 </w:t>
      </w:r>
      <w:r>
        <w:rPr>
          <w:spacing w:val="6"/>
        </w:rPr>
        <w:t>申请：</w:t>
      </w:r>
    </w:p>
    <w:p>
      <w:pPr>
        <w:pStyle w:val="ListParagraph"/>
        <w:numPr>
          <w:ilvl w:val="0"/>
          <w:numId w:val="4"/>
        </w:numPr>
        <w:tabs>
          <w:tab w:pos="1092" w:val="left" w:leader="none"/>
        </w:tabs>
        <w:spacing w:line="326" w:lineRule="auto" w:before="0" w:after="0"/>
        <w:ind w:left="129" w:right="159" w:firstLine="640"/>
        <w:jc w:val="left"/>
        <w:rPr>
          <w:sz w:val="32"/>
        </w:rPr>
      </w:pPr>
      <w:r>
        <w:rPr>
          <w:spacing w:val="-1"/>
          <w:sz w:val="32"/>
        </w:rPr>
        <w:t>该项无形资产已被其它新技术等替代或不再受法律保护， </w:t>
      </w:r>
      <w:r>
        <w:rPr>
          <w:sz w:val="32"/>
        </w:rPr>
        <w:t>且不能给学校带来利益；</w:t>
      </w:r>
    </w:p>
    <w:p>
      <w:pPr>
        <w:pStyle w:val="ListParagraph"/>
        <w:numPr>
          <w:ilvl w:val="0"/>
          <w:numId w:val="4"/>
        </w:numPr>
        <w:tabs>
          <w:tab w:pos="1051" w:val="left" w:leader="none"/>
        </w:tabs>
        <w:spacing w:line="240" w:lineRule="auto" w:before="0" w:after="0"/>
        <w:ind w:left="1050" w:right="0" w:hanging="315"/>
        <w:jc w:val="left"/>
        <w:rPr>
          <w:sz w:val="32"/>
        </w:rPr>
      </w:pPr>
      <w:r>
        <w:rPr>
          <w:spacing w:val="-23"/>
          <w:sz w:val="32"/>
        </w:rPr>
        <w:t>有充足的理由确信该无形资产的价值大幅下跌，且无法恢复。</w:t>
      </w:r>
    </w:p>
    <w:p>
      <w:pPr>
        <w:pStyle w:val="BodyText"/>
        <w:spacing w:before="8"/>
        <w:ind w:left="0"/>
        <w:rPr>
          <w:sz w:val="23"/>
        </w:rPr>
      </w:pPr>
    </w:p>
    <w:p>
      <w:pPr>
        <w:pStyle w:val="BodyText"/>
        <w:tabs>
          <w:tab w:pos="1281" w:val="left" w:leader="none"/>
        </w:tabs>
        <w:ind w:left="0" w:right="143"/>
        <w:jc w:val="center"/>
        <w:rPr>
          <w:rFonts w:ascii="黑体" w:eastAsia="黑体" w:hint="eastAsia"/>
        </w:rPr>
      </w:pPr>
      <w:r>
        <w:rPr>
          <w:rFonts w:ascii="黑体" w:eastAsia="黑体" w:hint="eastAsia"/>
        </w:rPr>
        <w:t>第四章</w:t>
        <w:tab/>
        <w:t>无形资产的计价</w:t>
      </w:r>
    </w:p>
    <w:p>
      <w:pPr>
        <w:pStyle w:val="BodyText"/>
        <w:spacing w:before="1"/>
        <w:ind w:left="0"/>
        <w:rPr>
          <w:rFonts w:ascii="黑体"/>
          <w:sz w:val="24"/>
        </w:rPr>
      </w:pPr>
    </w:p>
    <w:p>
      <w:pPr>
        <w:pStyle w:val="BodyText"/>
        <w:spacing w:line="326" w:lineRule="auto"/>
        <w:ind w:right="271" w:firstLine="640"/>
        <w:jc w:val="both"/>
      </w:pPr>
      <w:r>
        <w:rPr>
          <w:spacing w:val="-4"/>
        </w:rPr>
        <w:t>第十六条 外购的无形资产，其成本包括购买价款、相关税</w:t>
      </w:r>
      <w:r>
        <w:rPr>
          <w:spacing w:val="-6"/>
        </w:rPr>
        <w:t>费以及可归属于该项资产达到预定用途所发生的其它支出。委托</w:t>
      </w:r>
      <w:r>
        <w:rPr/>
        <w:t>软件公司开发的软件视同外购的无形资产。</w:t>
      </w:r>
    </w:p>
    <w:p>
      <w:pPr>
        <w:pStyle w:val="BodyText"/>
        <w:spacing w:line="326" w:lineRule="auto" w:before="7"/>
        <w:ind w:right="273" w:firstLine="640"/>
        <w:jc w:val="both"/>
      </w:pPr>
      <w:r>
        <w:rPr/>
        <w:t>第十七条 自行开发并按法律程序申请取得的无形资产，按照依法取得时发生的注册费、聘请律师费等费用确定成本。</w:t>
      </w:r>
    </w:p>
    <w:p>
      <w:pPr>
        <w:pStyle w:val="BodyText"/>
        <w:spacing w:before="4"/>
        <w:ind w:left="770"/>
        <w:jc w:val="both"/>
      </w:pPr>
      <w:r>
        <w:rPr/>
        <w:t>第十八条 接受捐赠、无偿调入的无形资产，其成本按照有</w:t>
      </w:r>
    </w:p>
    <w:p>
      <w:pPr>
        <w:spacing w:after="0"/>
        <w:jc w:val="both"/>
        <w:sectPr>
          <w:pgSz w:w="11910" w:h="16840"/>
          <w:pgMar w:header="0" w:footer="1114" w:top="1580" w:bottom="1300" w:left="1460" w:right="1200"/>
        </w:sectPr>
      </w:pPr>
    </w:p>
    <w:p>
      <w:pPr>
        <w:pStyle w:val="BodyText"/>
        <w:ind w:left="0"/>
        <w:rPr>
          <w:sz w:val="20"/>
        </w:rPr>
      </w:pPr>
    </w:p>
    <w:p>
      <w:pPr>
        <w:pStyle w:val="BodyText"/>
        <w:spacing w:before="10"/>
        <w:ind w:left="0"/>
        <w:rPr>
          <w:sz w:val="24"/>
        </w:rPr>
      </w:pPr>
    </w:p>
    <w:p>
      <w:pPr>
        <w:pStyle w:val="BodyText"/>
        <w:spacing w:line="326" w:lineRule="auto" w:before="54"/>
        <w:ind w:right="272"/>
      </w:pPr>
      <w:r>
        <w:rPr>
          <w:spacing w:val="-8"/>
        </w:rPr>
        <w:t>关凭据注明的金额加上相关税费等确定；没有相关凭据的，其成</w:t>
      </w:r>
      <w:r>
        <w:rPr/>
        <w:t>本比照同类或类似无形资产的市场价格加上相关税费等确定。</w:t>
      </w:r>
    </w:p>
    <w:p>
      <w:pPr>
        <w:pStyle w:val="BodyText"/>
        <w:tabs>
          <w:tab w:pos="2371" w:val="left" w:leader="none"/>
        </w:tabs>
        <w:spacing w:line="326" w:lineRule="auto" w:before="6"/>
        <w:ind w:right="273" w:firstLine="640"/>
      </w:pPr>
      <w:r>
        <w:rPr/>
        <w:t>第十九条</w:t>
        <w:tab/>
        <w:t>无形资产一般在发生自行开发</w:t>
      </w:r>
      <w:r>
        <w:rPr>
          <w:spacing w:val="-39"/>
        </w:rPr>
        <w:t>、</w:t>
      </w:r>
      <w:r>
        <w:rPr/>
        <w:t>受让</w:t>
      </w:r>
      <w:r>
        <w:rPr>
          <w:spacing w:val="-37"/>
        </w:rPr>
        <w:t>、</w:t>
      </w:r>
      <w:r>
        <w:rPr/>
        <w:t>转让</w:t>
      </w:r>
      <w:r>
        <w:rPr>
          <w:spacing w:val="-39"/>
        </w:rPr>
        <w:t>、</w:t>
      </w:r>
      <w:r>
        <w:rPr>
          <w:spacing w:val="-14"/>
        </w:rPr>
        <w:t>对</w:t>
      </w:r>
      <w:r>
        <w:rPr/>
        <w:t>外投资等行为并经过法定机构评估后，才能计价。</w:t>
      </w:r>
    </w:p>
    <w:p>
      <w:pPr>
        <w:pStyle w:val="BodyText"/>
        <w:tabs>
          <w:tab w:pos="1281" w:val="left" w:leader="none"/>
        </w:tabs>
        <w:spacing w:before="160"/>
        <w:ind w:left="0" w:right="143"/>
        <w:jc w:val="center"/>
        <w:rPr>
          <w:rFonts w:ascii="黑体" w:eastAsia="黑体" w:hint="eastAsia"/>
        </w:rPr>
      </w:pPr>
      <w:r>
        <w:rPr>
          <w:rFonts w:ascii="黑体" w:eastAsia="黑体" w:hint="eastAsia"/>
        </w:rPr>
        <w:t>第五章</w:t>
        <w:tab/>
        <w:t>无形资产的使用</w:t>
      </w:r>
    </w:p>
    <w:p>
      <w:pPr>
        <w:pStyle w:val="BodyText"/>
        <w:ind w:left="0"/>
        <w:rPr>
          <w:rFonts w:ascii="黑体"/>
          <w:sz w:val="24"/>
        </w:rPr>
      </w:pPr>
    </w:p>
    <w:p>
      <w:pPr>
        <w:pStyle w:val="BodyText"/>
        <w:spacing w:line="328" w:lineRule="auto"/>
        <w:ind w:right="273" w:firstLine="640"/>
        <w:jc w:val="both"/>
      </w:pPr>
      <w:r>
        <w:rPr>
          <w:spacing w:val="5"/>
        </w:rPr>
        <w:t>第二十条 拟使用学校无形资产的单位或个人需向学校无</w:t>
      </w:r>
      <w:r>
        <w:rPr>
          <w:spacing w:val="-9"/>
        </w:rPr>
        <w:t>形资产归口管理部门提交使用申请。申请应注明使用单位或个人</w:t>
      </w:r>
      <w:r>
        <w:rPr/>
        <w:t>的名称、地址以及使用的资产、期限等。</w:t>
      </w:r>
    </w:p>
    <w:p>
      <w:pPr>
        <w:pStyle w:val="BodyText"/>
        <w:spacing w:line="326" w:lineRule="auto"/>
        <w:ind w:right="273" w:firstLine="640"/>
        <w:jc w:val="both"/>
      </w:pPr>
      <w:r>
        <w:rPr>
          <w:spacing w:val="-6"/>
        </w:rPr>
        <w:t>第二十一条 归口管理部门对使用申请给出审核意见，报主</w:t>
      </w:r>
      <w:r>
        <w:rPr>
          <w:spacing w:val="-5"/>
        </w:rPr>
        <w:t>管校领导审批。其中，计价 </w:t>
      </w:r>
      <w:r>
        <w:rPr/>
        <w:t>30</w:t>
      </w:r>
      <w:r>
        <w:rPr>
          <w:spacing w:val="-9"/>
        </w:rPr>
        <w:t> 万元以上的重大无形资产使用需</w:t>
      </w:r>
    </w:p>
    <w:p>
      <w:pPr>
        <w:pStyle w:val="BodyText"/>
        <w:spacing w:line="326" w:lineRule="auto" w:before="1"/>
        <w:ind w:right="272"/>
        <w:jc w:val="both"/>
      </w:pPr>
      <w:r>
        <w:rPr>
          <w:spacing w:val="-17"/>
        </w:rPr>
        <w:t>提交资产管理处备案，计价 </w:t>
      </w:r>
      <w:r>
        <w:rPr/>
        <w:t>200</w:t>
      </w:r>
      <w:r>
        <w:rPr>
          <w:spacing w:val="-11"/>
        </w:rPr>
        <w:t> 万元以上的重大无形资产使用需无形资产管理委员会批准，必要时提请校长办公会或党委常委会</w:t>
      </w:r>
      <w:r>
        <w:rPr/>
        <w:t>审批。</w:t>
      </w:r>
    </w:p>
    <w:p>
      <w:pPr>
        <w:pStyle w:val="BodyText"/>
        <w:tabs>
          <w:tab w:pos="2061" w:val="left" w:leader="none"/>
          <w:tab w:pos="2750" w:val="left" w:leader="none"/>
        </w:tabs>
        <w:spacing w:line="326" w:lineRule="auto" w:before="7"/>
        <w:ind w:right="268" w:firstLine="640"/>
        <w:jc w:val="right"/>
      </w:pPr>
      <w:r>
        <w:rPr>
          <w:spacing w:val="9"/>
        </w:rPr>
        <w:t>第二十二</w:t>
      </w:r>
      <w:r>
        <w:rPr/>
        <w:t>条</w:t>
        <w:tab/>
      </w:r>
      <w:r>
        <w:rPr>
          <w:spacing w:val="7"/>
          <w:w w:val="95"/>
        </w:rPr>
        <w:t>申</w:t>
      </w:r>
      <w:r>
        <w:rPr>
          <w:spacing w:val="9"/>
          <w:w w:val="95"/>
        </w:rPr>
        <w:t>请单位或</w:t>
      </w:r>
      <w:r>
        <w:rPr>
          <w:spacing w:val="7"/>
          <w:w w:val="95"/>
        </w:rPr>
        <w:t>个</w:t>
      </w:r>
      <w:r>
        <w:rPr>
          <w:spacing w:val="9"/>
          <w:w w:val="95"/>
        </w:rPr>
        <w:t>人</w:t>
      </w:r>
      <w:r>
        <w:rPr>
          <w:spacing w:val="7"/>
          <w:w w:val="95"/>
        </w:rPr>
        <w:t>持</w:t>
      </w:r>
      <w:r>
        <w:rPr>
          <w:spacing w:val="9"/>
          <w:w w:val="95"/>
        </w:rPr>
        <w:t>审批后的</w:t>
      </w:r>
      <w:r>
        <w:rPr>
          <w:spacing w:val="7"/>
          <w:w w:val="95"/>
        </w:rPr>
        <w:t>申</w:t>
      </w:r>
      <w:r>
        <w:rPr>
          <w:spacing w:val="9"/>
          <w:w w:val="95"/>
        </w:rPr>
        <w:t>请</w:t>
      </w:r>
      <w:r>
        <w:rPr>
          <w:spacing w:val="7"/>
          <w:w w:val="95"/>
        </w:rPr>
        <w:t>书</w:t>
      </w:r>
      <w:r>
        <w:rPr>
          <w:spacing w:val="9"/>
          <w:w w:val="95"/>
        </w:rPr>
        <w:t>与无形</w:t>
      </w:r>
      <w:r>
        <w:rPr>
          <w:w w:val="95"/>
        </w:rPr>
        <w:t>资</w:t>
      </w:r>
      <w:r>
        <w:rPr>
          <w:spacing w:val="-15"/>
          <w:w w:val="95"/>
        </w:rPr>
        <w:t>产归口</w:t>
      </w:r>
      <w:r>
        <w:rPr>
          <w:spacing w:val="-17"/>
          <w:w w:val="95"/>
        </w:rPr>
        <w:t>管</w:t>
      </w:r>
      <w:r>
        <w:rPr>
          <w:spacing w:val="-15"/>
          <w:w w:val="95"/>
        </w:rPr>
        <w:t>理部</w:t>
      </w:r>
      <w:r>
        <w:rPr>
          <w:spacing w:val="-17"/>
          <w:w w:val="95"/>
        </w:rPr>
        <w:t>门签</w:t>
      </w:r>
      <w:r>
        <w:rPr>
          <w:spacing w:val="-15"/>
          <w:w w:val="95"/>
        </w:rPr>
        <w:t>订使用</w:t>
      </w:r>
      <w:r>
        <w:rPr>
          <w:spacing w:val="-17"/>
          <w:w w:val="95"/>
        </w:rPr>
        <w:t>协</w:t>
      </w:r>
      <w:r>
        <w:rPr>
          <w:spacing w:val="-15"/>
          <w:w w:val="95"/>
        </w:rPr>
        <w:t>议，</w:t>
      </w:r>
      <w:r>
        <w:rPr>
          <w:spacing w:val="-17"/>
          <w:w w:val="95"/>
        </w:rPr>
        <w:t>没有</w:t>
      </w:r>
      <w:r>
        <w:rPr>
          <w:spacing w:val="-15"/>
          <w:w w:val="95"/>
        </w:rPr>
        <w:t>通过审</w:t>
      </w:r>
      <w:r>
        <w:rPr>
          <w:spacing w:val="-17"/>
          <w:w w:val="95"/>
        </w:rPr>
        <w:t>批</w:t>
      </w:r>
      <w:r>
        <w:rPr>
          <w:spacing w:val="-15"/>
          <w:w w:val="95"/>
        </w:rPr>
        <w:t>的则</w:t>
      </w:r>
      <w:r>
        <w:rPr>
          <w:spacing w:val="-17"/>
          <w:w w:val="95"/>
        </w:rPr>
        <w:t>发还</w:t>
      </w:r>
      <w:r>
        <w:rPr>
          <w:spacing w:val="-15"/>
          <w:w w:val="95"/>
        </w:rPr>
        <w:t>申请材</w:t>
      </w:r>
      <w:r>
        <w:rPr>
          <w:spacing w:val="-17"/>
          <w:w w:val="95"/>
        </w:rPr>
        <w:t>料</w:t>
      </w:r>
      <w:r>
        <w:rPr>
          <w:w w:val="95"/>
        </w:rPr>
        <w:t>。 </w:t>
      </w:r>
      <w:r>
        <w:rPr/>
        <w:t>第二十三条</w:t>
        <w:tab/>
        <w:t>对使用学校校名（含简称、字</w:t>
      </w:r>
      <w:r>
        <w:rPr>
          <w:spacing w:val="4"/>
        </w:rPr>
        <w:t>样</w:t>
      </w:r>
      <w:r>
        <w:rPr>
          <w:spacing w:val="-159"/>
        </w:rPr>
        <w:t>）</w:t>
      </w:r>
      <w:r>
        <w:rPr/>
        <w:t>、校徽的单</w:t>
      </w:r>
    </w:p>
    <w:p>
      <w:pPr>
        <w:pStyle w:val="BodyText"/>
        <w:spacing w:line="326" w:lineRule="auto" w:before="8"/>
        <w:ind w:right="159"/>
      </w:pPr>
      <w:r>
        <w:rPr/>
        <w:t>位和个人，应严格审查其资格、资信；用于经营或对外服务的， 要签订合同，合理取费，定期检查。对损害学校权益的，应及时收回。</w:t>
      </w:r>
    </w:p>
    <w:p>
      <w:pPr>
        <w:pStyle w:val="BodyText"/>
        <w:spacing w:line="326" w:lineRule="auto" w:before="7"/>
        <w:ind w:right="272" w:firstLine="640"/>
        <w:jc w:val="both"/>
      </w:pPr>
      <w:r>
        <w:rPr>
          <w:spacing w:val="-2"/>
        </w:rPr>
        <w:t>第二十四条 凡涉密的无形资产的使用，必须履行保密审批</w:t>
      </w:r>
      <w:r>
        <w:rPr>
          <w:spacing w:val="-12"/>
        </w:rPr>
        <w:t>程序。对涉及技术秘密或商业秘密的无形资产，使用单位及归口</w:t>
      </w:r>
      <w:r>
        <w:rPr>
          <w:spacing w:val="-9"/>
        </w:rPr>
        <w:t>管理部门必须采取必要的保密措施；涉及国家秘密的无形资产必</w:t>
      </w:r>
    </w:p>
    <w:p>
      <w:pPr>
        <w:spacing w:after="0" w:line="326" w:lineRule="auto"/>
        <w:jc w:val="both"/>
        <w:sectPr>
          <w:pgSz w:w="11910" w:h="16840"/>
          <w:pgMar w:header="0" w:footer="1114" w:top="1580" w:bottom="1300" w:left="1460" w:right="1200"/>
        </w:sectPr>
      </w:pPr>
    </w:p>
    <w:p>
      <w:pPr>
        <w:pStyle w:val="BodyText"/>
        <w:ind w:left="0"/>
        <w:rPr>
          <w:sz w:val="20"/>
        </w:rPr>
      </w:pPr>
    </w:p>
    <w:p>
      <w:pPr>
        <w:pStyle w:val="BodyText"/>
        <w:spacing w:before="10"/>
        <w:ind w:left="0"/>
        <w:rPr>
          <w:sz w:val="24"/>
        </w:rPr>
      </w:pPr>
    </w:p>
    <w:p>
      <w:pPr>
        <w:pStyle w:val="BodyText"/>
        <w:spacing w:before="54"/>
      </w:pPr>
      <w:r>
        <w:rPr/>
        <w:t>须在学校保密工作办公室备案。</w:t>
      </w:r>
    </w:p>
    <w:p>
      <w:pPr>
        <w:pStyle w:val="BodyText"/>
        <w:tabs>
          <w:tab w:pos="2750" w:val="left" w:leader="none"/>
        </w:tabs>
        <w:spacing w:line="328" w:lineRule="auto" w:before="150"/>
        <w:ind w:right="273" w:firstLine="640"/>
      </w:pPr>
      <w:r>
        <w:rPr>
          <w:spacing w:val="9"/>
        </w:rPr>
        <w:t>第二十五</w:t>
      </w:r>
      <w:r>
        <w:rPr/>
        <w:t>条</w:t>
        <w:tab/>
      </w:r>
      <w:r>
        <w:rPr>
          <w:spacing w:val="7"/>
        </w:rPr>
        <w:t>未</w:t>
      </w:r>
      <w:r>
        <w:rPr>
          <w:spacing w:val="9"/>
        </w:rPr>
        <w:t>经学校授</w:t>
      </w:r>
      <w:r>
        <w:rPr>
          <w:spacing w:val="7"/>
        </w:rPr>
        <w:t>权</w:t>
      </w:r>
      <w:r>
        <w:rPr>
          <w:spacing w:val="9"/>
        </w:rPr>
        <w:t>的</w:t>
      </w:r>
      <w:r>
        <w:rPr>
          <w:spacing w:val="7"/>
        </w:rPr>
        <w:t>单</w:t>
      </w:r>
      <w:r>
        <w:rPr>
          <w:spacing w:val="9"/>
        </w:rPr>
        <w:t>位或个人</w:t>
      </w:r>
      <w:r>
        <w:rPr>
          <w:spacing w:val="7"/>
        </w:rPr>
        <w:t>不</w:t>
      </w:r>
      <w:r>
        <w:rPr>
          <w:spacing w:val="9"/>
        </w:rPr>
        <w:t>得</w:t>
      </w:r>
      <w:r>
        <w:rPr>
          <w:spacing w:val="7"/>
        </w:rPr>
        <w:t>擅</w:t>
      </w:r>
      <w:r>
        <w:rPr>
          <w:spacing w:val="9"/>
        </w:rPr>
        <w:t>自使用</w:t>
      </w:r>
      <w:r>
        <w:rPr>
          <w:spacing w:val="-14"/>
        </w:rPr>
        <w:t>学</w:t>
      </w:r>
      <w:r>
        <w:rPr/>
        <w:t>校的无形资产。</w:t>
      </w:r>
    </w:p>
    <w:p>
      <w:pPr>
        <w:pStyle w:val="BodyText"/>
        <w:tabs>
          <w:tab w:pos="1281" w:val="left" w:leader="none"/>
        </w:tabs>
        <w:spacing w:before="153"/>
        <w:ind w:left="0" w:right="143"/>
        <w:jc w:val="center"/>
        <w:rPr>
          <w:rFonts w:ascii="黑体" w:eastAsia="黑体" w:hint="eastAsia"/>
        </w:rPr>
      </w:pPr>
      <w:r>
        <w:rPr>
          <w:rFonts w:ascii="黑体" w:eastAsia="黑体" w:hint="eastAsia"/>
        </w:rPr>
        <w:t>第六章</w:t>
        <w:tab/>
        <w:t>无形资产的处置</w:t>
      </w:r>
    </w:p>
    <w:p>
      <w:pPr>
        <w:pStyle w:val="BodyText"/>
        <w:ind w:left="0"/>
        <w:rPr>
          <w:rFonts w:ascii="黑体"/>
          <w:sz w:val="24"/>
        </w:rPr>
      </w:pPr>
    </w:p>
    <w:p>
      <w:pPr>
        <w:pStyle w:val="BodyText"/>
        <w:spacing w:line="326" w:lineRule="auto" w:before="1"/>
        <w:ind w:right="273" w:firstLine="640"/>
        <w:jc w:val="both"/>
      </w:pPr>
      <w:r>
        <w:rPr>
          <w:spacing w:val="6"/>
        </w:rPr>
        <w:t>第二十六条 无形资产的处置是指学校对无形资产进行产</w:t>
      </w:r>
      <w:r>
        <w:rPr>
          <w:spacing w:val="-27"/>
        </w:rPr>
        <w:t>权</w:t>
      </w:r>
      <w:r>
        <w:rPr/>
        <w:t>（</w:t>
      </w:r>
      <w:r>
        <w:rPr>
          <w:spacing w:val="-5"/>
        </w:rPr>
        <w:t>含所有权、使用权</w:t>
      </w:r>
      <w:r>
        <w:rPr>
          <w:spacing w:val="-27"/>
        </w:rPr>
        <w:t>）</w:t>
      </w:r>
      <w:r>
        <w:rPr>
          <w:spacing w:val="-4"/>
        </w:rPr>
        <w:t>转移和开发利用等行为，包括转让或出</w:t>
      </w:r>
      <w:r>
        <w:rPr/>
        <w:t>售、开发利用、投资、报废等。</w:t>
      </w:r>
    </w:p>
    <w:p>
      <w:pPr>
        <w:pStyle w:val="BodyText"/>
        <w:spacing w:line="326" w:lineRule="auto" w:before="7"/>
        <w:ind w:right="271" w:firstLine="640"/>
        <w:jc w:val="both"/>
      </w:pPr>
      <w:r>
        <w:rPr/>
        <w:t>第二十七条 无形资产处置应按照平等合理、公开公正、依法合规原则进行，防止无形资产在处置环节流失。</w:t>
      </w:r>
    </w:p>
    <w:p>
      <w:pPr>
        <w:pStyle w:val="BodyText"/>
        <w:spacing w:before="3"/>
        <w:ind w:left="770"/>
        <w:jc w:val="both"/>
      </w:pPr>
      <w:r>
        <w:rPr/>
        <w:t>第二十八条 学校无形资产转让或对外投资</w:t>
      </w:r>
    </w:p>
    <w:p>
      <w:pPr>
        <w:pStyle w:val="BodyText"/>
        <w:spacing w:line="326" w:lineRule="auto" w:before="152"/>
        <w:ind w:right="272" w:firstLine="640"/>
        <w:jc w:val="both"/>
      </w:pPr>
      <w:r>
        <w:rPr/>
        <w:t>（一</w:t>
      </w:r>
      <w:r>
        <w:rPr>
          <w:spacing w:val="-39"/>
        </w:rPr>
        <w:t>）</w:t>
      </w:r>
      <w:r>
        <w:rPr>
          <w:spacing w:val="-8"/>
        </w:rPr>
        <w:t>应当按照有关规定，由归口管理部门代表学校，委托具有资质的专业评估机构，对拟使用的无形资产进行评估，并将</w:t>
      </w:r>
      <w:r>
        <w:rPr/>
        <w:t>评估报告报资产管理处审核备案。</w:t>
      </w:r>
    </w:p>
    <w:p>
      <w:pPr>
        <w:pStyle w:val="BodyText"/>
        <w:spacing w:line="326" w:lineRule="auto" w:before="7"/>
        <w:ind w:right="272" w:firstLine="640"/>
      </w:pPr>
      <w:r>
        <w:rPr/>
        <w:t>（二</w:t>
      </w:r>
      <w:r>
        <w:rPr>
          <w:spacing w:val="-58"/>
        </w:rPr>
        <w:t>）</w:t>
      </w:r>
      <w:r>
        <w:rPr>
          <w:spacing w:val="-4"/>
        </w:rPr>
        <w:t>归口管理部门代表学校与相关方签订协议，并按规定</w:t>
      </w:r>
      <w:r>
        <w:rPr/>
        <w:t>将向相关方收取的费用上缴财务处。</w:t>
      </w:r>
    </w:p>
    <w:p>
      <w:pPr>
        <w:pStyle w:val="BodyText"/>
        <w:spacing w:line="328" w:lineRule="auto" w:before="3"/>
        <w:ind w:right="272" w:firstLine="640"/>
      </w:pPr>
      <w:r>
        <w:rPr/>
        <w:t>（三</w:t>
      </w:r>
      <w:r>
        <w:rPr>
          <w:spacing w:val="-58"/>
        </w:rPr>
        <w:t>）</w:t>
      </w:r>
      <w:r>
        <w:rPr>
          <w:spacing w:val="-9"/>
        </w:rPr>
        <w:t>需产权变更的，归口管理部门应督促相关单位及时办</w:t>
      </w:r>
      <w:r>
        <w:rPr/>
        <w:t>理登记或变更手续。</w:t>
      </w:r>
    </w:p>
    <w:p>
      <w:pPr>
        <w:pStyle w:val="BodyText"/>
        <w:spacing w:line="326" w:lineRule="auto"/>
        <w:ind w:right="272" w:firstLine="640"/>
      </w:pPr>
      <w:r>
        <w:rPr/>
        <w:t>（四</w:t>
      </w:r>
      <w:r>
        <w:rPr>
          <w:spacing w:val="-58"/>
        </w:rPr>
        <w:t>）</w:t>
      </w:r>
      <w:r>
        <w:rPr>
          <w:spacing w:val="-6"/>
        </w:rPr>
        <w:t>财务处根据归口管理部门、资产管理处提供的相关资</w:t>
      </w:r>
      <w:r>
        <w:rPr/>
        <w:t>料进行账务处理。</w:t>
      </w:r>
    </w:p>
    <w:p>
      <w:pPr>
        <w:pStyle w:val="BodyText"/>
        <w:spacing w:line="326" w:lineRule="auto" w:before="4"/>
        <w:ind w:right="272" w:firstLine="640"/>
      </w:pPr>
      <w:r>
        <w:rPr/>
        <w:t>（五</w:t>
      </w:r>
      <w:r>
        <w:rPr>
          <w:spacing w:val="-58"/>
        </w:rPr>
        <w:t>）</w:t>
      </w:r>
      <w:r>
        <w:rPr>
          <w:spacing w:val="-4"/>
        </w:rPr>
        <w:t>归口管理部门将无形资产有关资料等整理归档，并对</w:t>
      </w:r>
      <w:r>
        <w:rPr/>
        <w:t>无形资产使用进行监管。</w:t>
      </w:r>
    </w:p>
    <w:p>
      <w:pPr>
        <w:pStyle w:val="BodyText"/>
        <w:spacing w:before="4"/>
        <w:ind w:left="770"/>
      </w:pPr>
      <w:r>
        <w:rPr/>
        <w:t>（六）专利技术等科技成果相关知识产权的处置办法详见</w:t>
      </w:r>
    </w:p>
    <w:p>
      <w:pPr>
        <w:spacing w:after="0"/>
        <w:sectPr>
          <w:pgSz w:w="11910" w:h="16840"/>
          <w:pgMar w:header="0" w:footer="1114" w:top="1580" w:bottom="1300" w:left="1460" w:right="1200"/>
        </w:sectPr>
      </w:pPr>
    </w:p>
    <w:p>
      <w:pPr>
        <w:pStyle w:val="BodyText"/>
        <w:ind w:left="0"/>
        <w:rPr>
          <w:sz w:val="20"/>
        </w:rPr>
      </w:pPr>
    </w:p>
    <w:p>
      <w:pPr>
        <w:pStyle w:val="BodyText"/>
        <w:spacing w:before="10"/>
        <w:ind w:left="0"/>
        <w:rPr>
          <w:sz w:val="24"/>
        </w:rPr>
      </w:pPr>
    </w:p>
    <w:p>
      <w:pPr>
        <w:pStyle w:val="BodyText"/>
        <w:spacing w:before="54"/>
      </w:pPr>
      <w:r>
        <w:rPr/>
        <w:t>《北京信息科技大学科技成果转移转化管理办法（试行</w:t>
      </w:r>
      <w:r>
        <w:rPr>
          <w:spacing w:val="-161"/>
        </w:rPr>
        <w:t>）</w:t>
      </w:r>
      <w:r>
        <w:rPr/>
        <w:t>》</w:t>
      </w:r>
    </w:p>
    <w:p>
      <w:pPr>
        <w:pStyle w:val="BodyText"/>
        <w:spacing w:line="328" w:lineRule="auto" w:before="150"/>
        <w:ind w:right="273" w:firstLine="640"/>
        <w:jc w:val="both"/>
      </w:pPr>
      <w:r>
        <w:rPr>
          <w:spacing w:val="-1"/>
        </w:rPr>
        <w:t>第二十九条 经过论证，认为无形资产预期不能为学校带来</w:t>
      </w:r>
      <w:r>
        <w:rPr>
          <w:spacing w:val="6"/>
          <w:w w:val="95"/>
        </w:rPr>
        <w:t>利益时，归口管理部门应按程序将无形资产的账面价值予以注 </w:t>
      </w:r>
      <w:r>
        <w:rPr>
          <w:spacing w:val="6"/>
        </w:rPr>
        <w:t>销。无形资产预期不能为学校带来利益的情形主要包括：</w:t>
      </w:r>
    </w:p>
    <w:p>
      <w:pPr>
        <w:pStyle w:val="BodyText"/>
        <w:spacing w:line="328" w:lineRule="auto"/>
        <w:ind w:right="272" w:firstLine="640"/>
      </w:pPr>
      <w:r>
        <w:rPr/>
        <w:t>（一</w:t>
      </w:r>
      <w:r>
        <w:rPr>
          <w:spacing w:val="-58"/>
        </w:rPr>
        <w:t>）</w:t>
      </w:r>
      <w:r>
        <w:rPr>
          <w:spacing w:val="-5"/>
        </w:rPr>
        <w:t>该项无形资产已被其它新技术等替代，且不能给学校</w:t>
      </w:r>
      <w:r>
        <w:rPr/>
        <w:t>带来利益；</w:t>
      </w:r>
    </w:p>
    <w:p>
      <w:pPr>
        <w:pStyle w:val="BodyText"/>
        <w:spacing w:line="326" w:lineRule="auto"/>
        <w:ind w:right="272" w:firstLine="640"/>
      </w:pPr>
      <w:r>
        <w:rPr/>
        <w:t>（二</w:t>
      </w:r>
      <w:r>
        <w:rPr>
          <w:spacing w:val="-58"/>
        </w:rPr>
        <w:t>）</w:t>
      </w:r>
      <w:r>
        <w:rPr>
          <w:spacing w:val="-5"/>
        </w:rPr>
        <w:t>该项无形资产不再受法律的保护，且不能给学校带来</w:t>
      </w:r>
      <w:r>
        <w:rPr/>
        <w:t>利益。</w:t>
      </w:r>
    </w:p>
    <w:p>
      <w:pPr>
        <w:pStyle w:val="BodyText"/>
        <w:tabs>
          <w:tab w:pos="2371" w:val="left" w:leader="none"/>
        </w:tabs>
        <w:spacing w:line="326" w:lineRule="auto"/>
        <w:ind w:right="273" w:firstLine="640"/>
      </w:pPr>
      <w:r>
        <w:rPr/>
        <w:t>第三十条</w:t>
        <w:tab/>
        <w:t>批准报废的无形资产</w:t>
      </w:r>
      <w:r>
        <w:rPr>
          <w:spacing w:val="-116"/>
        </w:rPr>
        <w:t>，</w:t>
      </w:r>
      <w:r>
        <w:rPr/>
        <w:t>相关部门根据批复进行</w:t>
      </w:r>
      <w:r>
        <w:rPr>
          <w:spacing w:val="-15"/>
        </w:rPr>
        <w:t>资</w:t>
      </w:r>
      <w:r>
        <w:rPr/>
        <w:t>产注销处理。</w:t>
      </w:r>
    </w:p>
    <w:p>
      <w:pPr>
        <w:pStyle w:val="BodyText"/>
        <w:tabs>
          <w:tab w:pos="2750" w:val="left" w:leader="none"/>
        </w:tabs>
        <w:spacing w:line="328" w:lineRule="auto" w:before="2"/>
        <w:ind w:right="273" w:firstLine="640"/>
      </w:pPr>
      <w:r>
        <w:rPr>
          <w:spacing w:val="9"/>
        </w:rPr>
        <w:t>第三十一</w:t>
      </w:r>
      <w:r>
        <w:rPr/>
        <w:t>条</w:t>
        <w:tab/>
      </w:r>
      <w:r>
        <w:rPr>
          <w:spacing w:val="7"/>
        </w:rPr>
        <w:t>无</w:t>
      </w:r>
      <w:r>
        <w:rPr>
          <w:spacing w:val="9"/>
        </w:rPr>
        <w:t>形资产的</w:t>
      </w:r>
      <w:r>
        <w:rPr>
          <w:spacing w:val="7"/>
        </w:rPr>
        <w:t>处</w:t>
      </w:r>
      <w:r>
        <w:rPr>
          <w:spacing w:val="9"/>
        </w:rPr>
        <w:t>置</w:t>
      </w:r>
      <w:r>
        <w:rPr>
          <w:spacing w:val="7"/>
        </w:rPr>
        <w:t>收</w:t>
      </w:r>
      <w:r>
        <w:rPr>
          <w:spacing w:val="9"/>
        </w:rPr>
        <w:t>益由财务</w:t>
      </w:r>
      <w:r>
        <w:rPr>
          <w:spacing w:val="7"/>
        </w:rPr>
        <w:t>处</w:t>
      </w:r>
      <w:r>
        <w:rPr>
          <w:spacing w:val="9"/>
        </w:rPr>
        <w:t>按</w:t>
      </w:r>
      <w:r>
        <w:rPr>
          <w:spacing w:val="7"/>
        </w:rPr>
        <w:t>国</w:t>
      </w:r>
      <w:r>
        <w:rPr>
          <w:spacing w:val="9"/>
        </w:rPr>
        <w:t>家相关</w:t>
      </w:r>
      <w:r>
        <w:rPr>
          <w:spacing w:val="-14"/>
        </w:rPr>
        <w:t>政</w:t>
      </w:r>
      <w:r>
        <w:rPr/>
        <w:t>策执行，任何单位和个人不得截留挪用。</w:t>
      </w:r>
    </w:p>
    <w:p>
      <w:pPr>
        <w:pStyle w:val="BodyText"/>
        <w:tabs>
          <w:tab w:pos="1281" w:val="left" w:leader="none"/>
        </w:tabs>
        <w:spacing w:before="153"/>
        <w:ind w:left="0" w:right="143"/>
        <w:jc w:val="center"/>
        <w:rPr>
          <w:rFonts w:ascii="黑体" w:eastAsia="黑体" w:hint="eastAsia"/>
        </w:rPr>
      </w:pPr>
      <w:r>
        <w:rPr>
          <w:rFonts w:ascii="黑体" w:eastAsia="黑体" w:hint="eastAsia"/>
        </w:rPr>
        <w:t>第七章</w:t>
        <w:tab/>
        <w:t>监管与追责</w:t>
      </w:r>
    </w:p>
    <w:p>
      <w:pPr>
        <w:pStyle w:val="BodyText"/>
        <w:ind w:left="0"/>
        <w:rPr>
          <w:rFonts w:ascii="黑体"/>
          <w:sz w:val="24"/>
        </w:rPr>
      </w:pPr>
    </w:p>
    <w:p>
      <w:pPr>
        <w:pStyle w:val="BodyText"/>
        <w:spacing w:line="326" w:lineRule="auto"/>
        <w:ind w:right="273" w:firstLine="640"/>
        <w:jc w:val="both"/>
      </w:pPr>
      <w:r>
        <w:rPr>
          <w:spacing w:val="-6"/>
        </w:rPr>
        <w:t>第三十二条 无形资产是学校国有资产的重要组成部分，任</w:t>
      </w:r>
      <w:r>
        <w:rPr>
          <w:spacing w:val="6"/>
          <w:w w:val="95"/>
        </w:rPr>
        <w:t>何单位及个人都有权监督学校无形资产的管理、使用和处置情 </w:t>
      </w:r>
      <w:r>
        <w:rPr>
          <w:spacing w:val="6"/>
        </w:rPr>
        <w:t>况，有权劝阻、制止和举报侵害学校权益的人员和行为。</w:t>
      </w:r>
    </w:p>
    <w:p>
      <w:pPr>
        <w:pStyle w:val="BodyText"/>
        <w:spacing w:line="328" w:lineRule="auto" w:before="8"/>
        <w:ind w:right="273" w:firstLine="640"/>
        <w:jc w:val="both"/>
      </w:pPr>
      <w:r>
        <w:rPr>
          <w:spacing w:val="6"/>
        </w:rPr>
        <w:t>第三十三条 教职工和学生完成的职务技术成果以及利用</w:t>
      </w:r>
      <w:r>
        <w:rPr>
          <w:spacing w:val="-11"/>
        </w:rPr>
        <w:t>学校资源完成的技术成果，未经主管部门审批同意擅自转让或处</w:t>
      </w:r>
      <w:r>
        <w:rPr>
          <w:spacing w:val="-12"/>
        </w:rPr>
        <w:t>置等行为，致使学校的合法利益受到侵害的，学校将追究其经济</w:t>
      </w:r>
      <w:r>
        <w:rPr>
          <w:spacing w:val="-11"/>
        </w:rPr>
        <w:t>责任和行政责任等；对情节严重，构成犯罪的，将依法追究当事</w:t>
      </w:r>
      <w:r>
        <w:rPr/>
        <w:t>人的刑事责任。</w:t>
      </w:r>
    </w:p>
    <w:p>
      <w:pPr>
        <w:pStyle w:val="BodyText"/>
        <w:spacing w:line="400" w:lineRule="exact"/>
        <w:ind w:left="770"/>
        <w:jc w:val="both"/>
      </w:pPr>
      <w:r>
        <w:rPr/>
        <w:t>第三十四条 因无形资产占用、处置以及产权归属发生的纠</w:t>
      </w:r>
    </w:p>
    <w:p>
      <w:pPr>
        <w:spacing w:after="0" w:line="400" w:lineRule="exact"/>
        <w:jc w:val="both"/>
        <w:sectPr>
          <w:pgSz w:w="11910" w:h="16840"/>
          <w:pgMar w:header="0" w:footer="1114" w:top="1580" w:bottom="1300" w:left="1460" w:right="1200"/>
        </w:sectPr>
      </w:pPr>
    </w:p>
    <w:p>
      <w:pPr>
        <w:pStyle w:val="BodyText"/>
        <w:ind w:left="0"/>
        <w:rPr>
          <w:sz w:val="20"/>
        </w:rPr>
      </w:pPr>
    </w:p>
    <w:p>
      <w:pPr>
        <w:pStyle w:val="BodyText"/>
        <w:spacing w:before="10"/>
        <w:ind w:left="0"/>
        <w:rPr>
          <w:sz w:val="24"/>
        </w:rPr>
      </w:pPr>
    </w:p>
    <w:p>
      <w:pPr>
        <w:pStyle w:val="BodyText"/>
        <w:spacing w:line="326" w:lineRule="auto" w:before="54"/>
        <w:ind w:right="274"/>
      </w:pPr>
      <w:r>
        <w:rPr>
          <w:spacing w:val="-13"/>
        </w:rPr>
        <w:t>纷，若学校内部不能协调解决，应报请上级管理部门作出行政处</w:t>
      </w:r>
      <w:r>
        <w:rPr/>
        <w:t>理或向人民法院起诉。</w:t>
      </w:r>
    </w:p>
    <w:p>
      <w:pPr>
        <w:pStyle w:val="BodyText"/>
        <w:spacing w:line="326" w:lineRule="auto" w:before="6"/>
        <w:ind w:right="159" w:firstLine="839"/>
        <w:jc w:val="both"/>
      </w:pPr>
      <w:r>
        <w:rPr/>
        <w:t>第三十五条 对侵犯学校无形资产、违反有关法律与规定</w:t>
      </w:r>
      <w:r>
        <w:rPr>
          <w:spacing w:val="-11"/>
        </w:rPr>
        <w:t>的校外单位和个人，资产管理处和无形资产归口管理部门配合政</w:t>
      </w:r>
      <w:r>
        <w:rPr>
          <w:spacing w:val="-12"/>
        </w:rPr>
        <w:t>府有关部门按国家法律、法规进行处理，依法保护学校的利益。</w:t>
      </w:r>
    </w:p>
    <w:p>
      <w:pPr>
        <w:pStyle w:val="BodyText"/>
        <w:tabs>
          <w:tab w:pos="1281" w:val="left" w:leader="none"/>
          <w:tab w:pos="1920" w:val="left" w:leader="none"/>
        </w:tabs>
        <w:spacing w:before="164"/>
        <w:ind w:left="0" w:right="140"/>
        <w:jc w:val="center"/>
        <w:rPr>
          <w:rFonts w:ascii="黑体" w:eastAsia="黑体" w:hint="eastAsia"/>
        </w:rPr>
      </w:pPr>
      <w:r>
        <w:rPr>
          <w:rFonts w:ascii="黑体" w:eastAsia="黑体" w:hint="eastAsia"/>
        </w:rPr>
        <w:t>第八章</w:t>
        <w:tab/>
        <w:t>附</w:t>
        <w:tab/>
        <w:t>则</w:t>
      </w:r>
    </w:p>
    <w:p>
      <w:pPr>
        <w:pStyle w:val="BodyText"/>
        <w:spacing w:before="10"/>
        <w:ind w:left="0"/>
        <w:rPr>
          <w:rFonts w:ascii="黑体"/>
          <w:sz w:val="23"/>
        </w:rPr>
      </w:pPr>
    </w:p>
    <w:p>
      <w:pPr>
        <w:pStyle w:val="BodyText"/>
        <w:spacing w:line="328" w:lineRule="auto"/>
        <w:ind w:right="273" w:firstLine="640"/>
        <w:jc w:val="both"/>
      </w:pPr>
      <w:r>
        <w:rPr/>
        <w:t>第三十六条 涉及国家秘密的无形资产管理依照《中华人民共和国保守国家秘密法》及相关规定执行。</w:t>
      </w:r>
    </w:p>
    <w:p>
      <w:pPr>
        <w:pStyle w:val="BodyText"/>
        <w:spacing w:line="328" w:lineRule="auto"/>
        <w:ind w:right="273" w:firstLine="640"/>
        <w:jc w:val="both"/>
      </w:pPr>
      <w:r>
        <w:rPr>
          <w:spacing w:val="-3"/>
        </w:rPr>
        <w:t>第三十七条 本办法由资产管理处负责解释，未尽事宜按照</w:t>
      </w:r>
      <w:r>
        <w:rPr>
          <w:spacing w:val="-12"/>
        </w:rPr>
        <w:t>上级有关文件规定执行，校内其他有关规定与本办法不一致或有</w:t>
      </w:r>
      <w:r>
        <w:rPr/>
        <w:t>冲突的，以本办法为准。</w:t>
      </w:r>
    </w:p>
    <w:p>
      <w:pPr>
        <w:pStyle w:val="BodyText"/>
        <w:spacing w:line="405" w:lineRule="exact"/>
        <w:ind w:left="770"/>
        <w:jc w:val="both"/>
      </w:pPr>
      <w:r>
        <w:rPr/>
        <w:t>第三十八条 本办法自发布之日起施行。</w:t>
      </w:r>
    </w:p>
    <w:p>
      <w:pPr>
        <w:pStyle w:val="BodyText"/>
        <w:ind w:left="0"/>
      </w:pPr>
    </w:p>
    <w:p>
      <w:pPr>
        <w:pStyle w:val="BodyText"/>
        <w:spacing w:before="4"/>
        <w:ind w:left="0"/>
        <w:rPr>
          <w:sz w:val="23"/>
        </w:rPr>
      </w:pPr>
    </w:p>
    <w:p>
      <w:pPr>
        <w:pStyle w:val="BodyText"/>
        <w:ind w:left="770"/>
      </w:pPr>
      <w:r>
        <w:rPr/>
        <w:t>附件：北京信息科技大学无形资产使用申请表</w:t>
      </w:r>
    </w:p>
    <w:p>
      <w:pPr>
        <w:spacing w:after="0"/>
        <w:sectPr>
          <w:pgSz w:w="11910" w:h="16840"/>
          <w:pgMar w:header="0" w:footer="1114" w:top="1580" w:bottom="1300" w:left="1460" w:right="1200"/>
        </w:sectPr>
      </w:pPr>
    </w:p>
    <w:p>
      <w:pPr>
        <w:pStyle w:val="BodyText"/>
        <w:ind w:left="0"/>
        <w:rPr>
          <w:sz w:val="20"/>
        </w:rPr>
      </w:pPr>
    </w:p>
    <w:p>
      <w:pPr>
        <w:pStyle w:val="BodyText"/>
        <w:spacing w:before="11"/>
        <w:ind w:left="0"/>
        <w:rPr>
          <w:sz w:val="22"/>
        </w:rPr>
      </w:pPr>
    </w:p>
    <w:p>
      <w:pPr>
        <w:pStyle w:val="BodyText"/>
        <w:spacing w:before="55"/>
        <w:rPr>
          <w:rFonts w:ascii="黑体" w:eastAsia="黑体" w:hint="eastAsia"/>
        </w:rPr>
      </w:pPr>
      <w:r>
        <w:rPr>
          <w:rFonts w:ascii="黑体" w:eastAsia="黑体" w:hint="eastAsia"/>
        </w:rPr>
        <w:t>附件</w:t>
      </w:r>
    </w:p>
    <w:p>
      <w:pPr>
        <w:spacing w:before="103"/>
        <w:ind w:left="0" w:right="144" w:firstLine="0"/>
        <w:jc w:val="center"/>
        <w:rPr>
          <w:rFonts w:ascii="方正小标宋简体" w:eastAsia="方正小标宋简体" w:hint="eastAsia"/>
          <w:sz w:val="36"/>
        </w:rPr>
      </w:pPr>
      <w:r>
        <w:rPr>
          <w:rFonts w:ascii="方正小标宋简体" w:eastAsia="方正小标宋简体" w:hint="eastAsia"/>
          <w:sz w:val="36"/>
        </w:rPr>
        <w:t>北京信息科技大学无形资产使用申请表</w:t>
      </w:r>
    </w:p>
    <w:p>
      <w:pPr>
        <w:pStyle w:val="BodyText"/>
        <w:ind w:left="0"/>
        <w:rPr>
          <w:rFonts w:ascii="方正小标宋简体"/>
          <w:sz w:val="20"/>
        </w:rPr>
      </w:pPr>
    </w:p>
    <w:p>
      <w:pPr>
        <w:pStyle w:val="BodyText"/>
        <w:spacing w:before="4"/>
        <w:ind w:left="0"/>
        <w:rPr>
          <w:rFonts w:ascii="方正小标宋简体"/>
          <w:sz w:val="11"/>
        </w:rPr>
      </w:pPr>
    </w:p>
    <w:tbl>
      <w:tblPr>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1"/>
        <w:gridCol w:w="566"/>
        <w:gridCol w:w="1701"/>
        <w:gridCol w:w="2126"/>
        <w:gridCol w:w="2047"/>
      </w:tblGrid>
      <w:tr>
        <w:trPr>
          <w:trHeight w:val="361" w:hRule="atLeast"/>
        </w:trPr>
        <w:tc>
          <w:tcPr>
            <w:tcW w:w="2081" w:type="dxa"/>
          </w:tcPr>
          <w:p>
            <w:pPr>
              <w:pStyle w:val="TableParagraph"/>
              <w:spacing w:line="332" w:lineRule="exact" w:before="10"/>
              <w:ind w:left="180" w:right="169"/>
              <w:jc w:val="center"/>
              <w:rPr>
                <w:sz w:val="28"/>
              </w:rPr>
            </w:pPr>
            <w:r>
              <w:rPr>
                <w:sz w:val="28"/>
              </w:rPr>
              <w:t>申请部门</w:t>
            </w:r>
          </w:p>
        </w:tc>
        <w:tc>
          <w:tcPr>
            <w:tcW w:w="2267" w:type="dxa"/>
            <w:gridSpan w:val="2"/>
          </w:tcPr>
          <w:p>
            <w:pPr>
              <w:pStyle w:val="TableParagraph"/>
              <w:rPr>
                <w:rFonts w:ascii="Times New Roman"/>
                <w:sz w:val="28"/>
              </w:rPr>
            </w:pPr>
          </w:p>
        </w:tc>
        <w:tc>
          <w:tcPr>
            <w:tcW w:w="2126" w:type="dxa"/>
          </w:tcPr>
          <w:p>
            <w:pPr>
              <w:pStyle w:val="TableParagraph"/>
              <w:spacing w:line="332" w:lineRule="exact" w:before="10"/>
              <w:ind w:left="482" w:right="474"/>
              <w:jc w:val="center"/>
              <w:rPr>
                <w:sz w:val="28"/>
              </w:rPr>
            </w:pPr>
            <w:r>
              <w:rPr>
                <w:sz w:val="28"/>
              </w:rPr>
              <w:t>申请时间</w:t>
            </w:r>
          </w:p>
        </w:tc>
        <w:tc>
          <w:tcPr>
            <w:tcW w:w="2047" w:type="dxa"/>
          </w:tcPr>
          <w:p>
            <w:pPr>
              <w:pStyle w:val="TableParagraph"/>
              <w:rPr>
                <w:rFonts w:ascii="Times New Roman"/>
                <w:sz w:val="28"/>
              </w:rPr>
            </w:pPr>
          </w:p>
        </w:tc>
      </w:tr>
      <w:tr>
        <w:trPr>
          <w:trHeight w:val="359" w:hRule="atLeast"/>
        </w:trPr>
        <w:tc>
          <w:tcPr>
            <w:tcW w:w="2081" w:type="dxa"/>
          </w:tcPr>
          <w:p>
            <w:pPr>
              <w:pStyle w:val="TableParagraph"/>
              <w:spacing w:line="332" w:lineRule="exact" w:before="8"/>
              <w:ind w:left="180" w:right="171"/>
              <w:jc w:val="center"/>
              <w:rPr>
                <w:sz w:val="28"/>
              </w:rPr>
            </w:pPr>
            <w:r>
              <w:rPr>
                <w:sz w:val="28"/>
              </w:rPr>
              <w:t>申请人</w:t>
            </w:r>
          </w:p>
        </w:tc>
        <w:tc>
          <w:tcPr>
            <w:tcW w:w="2267" w:type="dxa"/>
            <w:gridSpan w:val="2"/>
          </w:tcPr>
          <w:p>
            <w:pPr>
              <w:pStyle w:val="TableParagraph"/>
              <w:rPr>
                <w:rFonts w:ascii="Times New Roman"/>
                <w:sz w:val="26"/>
              </w:rPr>
            </w:pPr>
          </w:p>
        </w:tc>
        <w:tc>
          <w:tcPr>
            <w:tcW w:w="2126" w:type="dxa"/>
          </w:tcPr>
          <w:p>
            <w:pPr>
              <w:pStyle w:val="TableParagraph"/>
              <w:spacing w:line="332" w:lineRule="exact" w:before="8"/>
              <w:ind w:left="482" w:right="474"/>
              <w:jc w:val="center"/>
              <w:rPr>
                <w:sz w:val="28"/>
              </w:rPr>
            </w:pPr>
            <w:r>
              <w:rPr>
                <w:sz w:val="28"/>
              </w:rPr>
              <w:t>联系电话</w:t>
            </w:r>
          </w:p>
        </w:tc>
        <w:tc>
          <w:tcPr>
            <w:tcW w:w="2047" w:type="dxa"/>
          </w:tcPr>
          <w:p>
            <w:pPr>
              <w:pStyle w:val="TableParagraph"/>
              <w:rPr>
                <w:rFonts w:ascii="Times New Roman"/>
                <w:sz w:val="26"/>
              </w:rPr>
            </w:pPr>
          </w:p>
        </w:tc>
      </w:tr>
      <w:tr>
        <w:trPr>
          <w:trHeight w:val="720" w:hRule="atLeast"/>
        </w:trPr>
        <w:tc>
          <w:tcPr>
            <w:tcW w:w="2081" w:type="dxa"/>
          </w:tcPr>
          <w:p>
            <w:pPr>
              <w:pStyle w:val="TableParagraph"/>
              <w:spacing w:before="188"/>
              <w:ind w:left="180" w:right="171"/>
              <w:jc w:val="center"/>
              <w:rPr>
                <w:sz w:val="28"/>
              </w:rPr>
            </w:pPr>
            <w:r>
              <w:rPr>
                <w:sz w:val="28"/>
              </w:rPr>
              <w:t>无形资产名称</w:t>
            </w:r>
          </w:p>
        </w:tc>
        <w:tc>
          <w:tcPr>
            <w:tcW w:w="2267" w:type="dxa"/>
            <w:gridSpan w:val="2"/>
          </w:tcPr>
          <w:p>
            <w:pPr>
              <w:pStyle w:val="TableParagraph"/>
              <w:rPr>
                <w:rFonts w:ascii="Times New Roman"/>
                <w:sz w:val="28"/>
              </w:rPr>
            </w:pPr>
          </w:p>
        </w:tc>
        <w:tc>
          <w:tcPr>
            <w:tcW w:w="2126" w:type="dxa"/>
          </w:tcPr>
          <w:p>
            <w:pPr>
              <w:pStyle w:val="TableParagraph"/>
              <w:spacing w:line="360" w:lineRule="atLeast" w:before="7"/>
              <w:ind w:left="222" w:right="209" w:firstLine="278"/>
              <w:rPr>
                <w:sz w:val="28"/>
              </w:rPr>
            </w:pPr>
            <w:r>
              <w:rPr>
                <w:sz w:val="28"/>
              </w:rPr>
              <w:t>无形资产 </w:t>
            </w:r>
            <w:r>
              <w:rPr>
                <w:spacing w:val="-4"/>
                <w:sz w:val="28"/>
              </w:rPr>
              <w:t>归口管理部门</w:t>
            </w:r>
          </w:p>
        </w:tc>
        <w:tc>
          <w:tcPr>
            <w:tcW w:w="2047" w:type="dxa"/>
          </w:tcPr>
          <w:p>
            <w:pPr>
              <w:pStyle w:val="TableParagraph"/>
              <w:rPr>
                <w:rFonts w:ascii="Times New Roman"/>
                <w:sz w:val="28"/>
              </w:rPr>
            </w:pPr>
          </w:p>
        </w:tc>
      </w:tr>
      <w:tr>
        <w:trPr>
          <w:trHeight w:val="2068" w:hRule="atLeast"/>
        </w:trPr>
        <w:tc>
          <w:tcPr>
            <w:tcW w:w="8521" w:type="dxa"/>
            <w:gridSpan w:val="5"/>
          </w:tcPr>
          <w:p>
            <w:pPr>
              <w:pStyle w:val="TableParagraph"/>
              <w:spacing w:before="1"/>
              <w:ind w:left="107"/>
              <w:rPr>
                <w:sz w:val="28"/>
              </w:rPr>
            </w:pPr>
            <w:r>
              <w:rPr>
                <w:sz w:val="28"/>
              </w:rPr>
              <w:t>无形资产基本情况介绍：</w:t>
            </w:r>
          </w:p>
        </w:tc>
      </w:tr>
      <w:tr>
        <w:trPr>
          <w:trHeight w:val="359" w:hRule="atLeast"/>
        </w:trPr>
        <w:tc>
          <w:tcPr>
            <w:tcW w:w="2081" w:type="dxa"/>
          </w:tcPr>
          <w:p>
            <w:pPr>
              <w:pStyle w:val="TableParagraph"/>
              <w:spacing w:line="332" w:lineRule="exact" w:before="8"/>
              <w:ind w:left="180" w:right="171"/>
              <w:jc w:val="center"/>
              <w:rPr>
                <w:sz w:val="28"/>
              </w:rPr>
            </w:pPr>
            <w:r>
              <w:rPr>
                <w:sz w:val="28"/>
              </w:rPr>
              <w:t>使用单位地址</w:t>
            </w:r>
          </w:p>
        </w:tc>
        <w:tc>
          <w:tcPr>
            <w:tcW w:w="2267" w:type="dxa"/>
            <w:gridSpan w:val="2"/>
          </w:tcPr>
          <w:p>
            <w:pPr>
              <w:pStyle w:val="TableParagraph"/>
              <w:rPr>
                <w:rFonts w:ascii="Times New Roman"/>
                <w:sz w:val="26"/>
              </w:rPr>
            </w:pPr>
          </w:p>
        </w:tc>
        <w:tc>
          <w:tcPr>
            <w:tcW w:w="2126" w:type="dxa"/>
          </w:tcPr>
          <w:p>
            <w:pPr>
              <w:pStyle w:val="TableParagraph"/>
              <w:spacing w:line="332" w:lineRule="exact" w:before="8"/>
              <w:ind w:left="482" w:right="474"/>
              <w:jc w:val="center"/>
              <w:rPr>
                <w:sz w:val="28"/>
              </w:rPr>
            </w:pPr>
            <w:r>
              <w:rPr>
                <w:sz w:val="28"/>
              </w:rPr>
              <w:t>使用期限</w:t>
            </w:r>
          </w:p>
        </w:tc>
        <w:tc>
          <w:tcPr>
            <w:tcW w:w="2047" w:type="dxa"/>
          </w:tcPr>
          <w:p>
            <w:pPr>
              <w:pStyle w:val="TableParagraph"/>
              <w:rPr>
                <w:rFonts w:ascii="Times New Roman"/>
                <w:sz w:val="26"/>
              </w:rPr>
            </w:pPr>
          </w:p>
        </w:tc>
      </w:tr>
      <w:tr>
        <w:trPr>
          <w:trHeight w:val="2539" w:hRule="atLeast"/>
        </w:trPr>
        <w:tc>
          <w:tcPr>
            <w:tcW w:w="8521" w:type="dxa"/>
            <w:gridSpan w:val="5"/>
          </w:tcPr>
          <w:p>
            <w:pPr>
              <w:pStyle w:val="TableParagraph"/>
              <w:spacing w:before="8"/>
              <w:ind w:left="107"/>
              <w:rPr>
                <w:sz w:val="28"/>
              </w:rPr>
            </w:pPr>
            <w:r>
              <w:rPr>
                <w:sz w:val="28"/>
              </w:rPr>
              <w:t>申请使用用途介绍：</w:t>
            </w:r>
          </w:p>
        </w:tc>
      </w:tr>
      <w:tr>
        <w:trPr>
          <w:trHeight w:val="359" w:hRule="atLeast"/>
        </w:trPr>
        <w:tc>
          <w:tcPr>
            <w:tcW w:w="2647" w:type="dxa"/>
            <w:gridSpan w:val="2"/>
          </w:tcPr>
          <w:p>
            <w:pPr>
              <w:pStyle w:val="TableParagraph"/>
              <w:spacing w:line="332" w:lineRule="exact" w:before="7"/>
              <w:ind w:left="203"/>
              <w:rPr>
                <w:sz w:val="28"/>
              </w:rPr>
            </w:pPr>
            <w:r>
              <w:rPr>
                <w:sz w:val="28"/>
              </w:rPr>
              <w:t>归口管理部门意见</w:t>
            </w:r>
          </w:p>
        </w:tc>
        <w:tc>
          <w:tcPr>
            <w:tcW w:w="5874" w:type="dxa"/>
            <w:gridSpan w:val="3"/>
          </w:tcPr>
          <w:p>
            <w:pPr>
              <w:pStyle w:val="TableParagraph"/>
              <w:rPr>
                <w:rFonts w:ascii="Times New Roman"/>
                <w:sz w:val="26"/>
              </w:rPr>
            </w:pPr>
          </w:p>
        </w:tc>
      </w:tr>
      <w:tr>
        <w:trPr>
          <w:trHeight w:val="811" w:hRule="atLeast"/>
        </w:trPr>
        <w:tc>
          <w:tcPr>
            <w:tcW w:w="2647" w:type="dxa"/>
            <w:gridSpan w:val="2"/>
          </w:tcPr>
          <w:p>
            <w:pPr>
              <w:pStyle w:val="TableParagraph"/>
              <w:spacing w:before="233"/>
              <w:ind w:left="342"/>
              <w:rPr>
                <w:sz w:val="28"/>
              </w:rPr>
            </w:pPr>
            <w:r>
              <w:rPr>
                <w:sz w:val="28"/>
              </w:rPr>
              <w:t>主管校领导意见</w:t>
            </w:r>
          </w:p>
        </w:tc>
        <w:tc>
          <w:tcPr>
            <w:tcW w:w="5874" w:type="dxa"/>
            <w:gridSpan w:val="3"/>
          </w:tcPr>
          <w:p>
            <w:pPr>
              <w:pStyle w:val="TableParagraph"/>
              <w:rPr>
                <w:rFonts w:ascii="Times New Roman"/>
                <w:sz w:val="28"/>
              </w:rPr>
            </w:pPr>
          </w:p>
        </w:tc>
      </w:tr>
      <w:tr>
        <w:trPr>
          <w:trHeight w:val="1065" w:hRule="atLeast"/>
        </w:trPr>
        <w:tc>
          <w:tcPr>
            <w:tcW w:w="2647" w:type="dxa"/>
            <w:gridSpan w:val="2"/>
          </w:tcPr>
          <w:p>
            <w:pPr>
              <w:pStyle w:val="TableParagraph"/>
              <w:spacing w:before="180"/>
              <w:ind w:left="273" w:right="93" w:hanging="166"/>
              <w:rPr>
                <w:sz w:val="28"/>
              </w:rPr>
            </w:pPr>
            <w:r>
              <w:rPr>
                <w:spacing w:val="-14"/>
                <w:sz w:val="28"/>
              </w:rPr>
              <w:t>资产管理处意见</w:t>
            </w:r>
            <w:r>
              <w:rPr>
                <w:sz w:val="28"/>
              </w:rPr>
              <w:t>（</w:t>
            </w:r>
            <w:r>
              <w:rPr>
                <w:spacing w:val="-16"/>
                <w:sz w:val="28"/>
              </w:rPr>
              <w:t>计</w:t>
            </w:r>
            <w:r>
              <w:rPr>
                <w:spacing w:val="-35"/>
                <w:sz w:val="28"/>
              </w:rPr>
              <w:t>价 </w:t>
            </w:r>
            <w:r>
              <w:rPr>
                <w:sz w:val="28"/>
              </w:rPr>
              <w:t>30</w:t>
            </w:r>
            <w:r>
              <w:rPr>
                <w:spacing w:val="-16"/>
                <w:sz w:val="28"/>
              </w:rPr>
              <w:t> 万元以上</w:t>
            </w:r>
            <w:r>
              <w:rPr>
                <w:sz w:val="28"/>
              </w:rPr>
              <w:t>）</w:t>
            </w:r>
          </w:p>
        </w:tc>
        <w:tc>
          <w:tcPr>
            <w:tcW w:w="5874" w:type="dxa"/>
            <w:gridSpan w:val="3"/>
          </w:tcPr>
          <w:p>
            <w:pPr>
              <w:pStyle w:val="TableParagraph"/>
              <w:rPr>
                <w:rFonts w:ascii="Times New Roman"/>
                <w:sz w:val="28"/>
              </w:rPr>
            </w:pPr>
          </w:p>
        </w:tc>
      </w:tr>
      <w:tr>
        <w:trPr>
          <w:trHeight w:val="1079" w:hRule="atLeast"/>
        </w:trPr>
        <w:tc>
          <w:tcPr>
            <w:tcW w:w="2647" w:type="dxa"/>
            <w:gridSpan w:val="2"/>
          </w:tcPr>
          <w:p>
            <w:pPr>
              <w:pStyle w:val="TableParagraph"/>
              <w:spacing w:line="360" w:lineRule="atLeast" w:before="6"/>
              <w:ind w:left="107" w:right="95" w:firstLine="1"/>
              <w:jc w:val="center"/>
              <w:rPr>
                <w:sz w:val="28"/>
              </w:rPr>
            </w:pPr>
            <w:r>
              <w:rPr>
                <w:spacing w:val="-2"/>
                <w:sz w:val="28"/>
              </w:rPr>
              <w:t>无形资产管理委员</w:t>
            </w:r>
            <w:r>
              <w:rPr>
                <w:spacing w:val="-31"/>
                <w:sz w:val="28"/>
              </w:rPr>
              <w:t>会意见</w:t>
            </w:r>
            <w:r>
              <w:rPr>
                <w:spacing w:val="-3"/>
                <w:sz w:val="28"/>
              </w:rPr>
              <w:t>（</w:t>
            </w:r>
            <w:r>
              <w:rPr>
                <w:spacing w:val="-24"/>
                <w:sz w:val="28"/>
              </w:rPr>
              <w:t>计价 </w:t>
            </w:r>
            <w:r>
              <w:rPr>
                <w:sz w:val="28"/>
              </w:rPr>
              <w:t>200</w:t>
            </w:r>
            <w:r>
              <w:rPr>
                <w:spacing w:val="-42"/>
                <w:sz w:val="28"/>
              </w:rPr>
              <w:t> 万</w:t>
            </w:r>
            <w:r>
              <w:rPr>
                <w:sz w:val="28"/>
              </w:rPr>
              <w:t>元以上）</w:t>
            </w:r>
          </w:p>
        </w:tc>
        <w:tc>
          <w:tcPr>
            <w:tcW w:w="5874" w:type="dxa"/>
            <w:gridSpan w:val="3"/>
          </w:tcPr>
          <w:p>
            <w:pPr>
              <w:pStyle w:val="TableParagraph"/>
              <w:rPr>
                <w:rFonts w:ascii="Times New Roman"/>
                <w:sz w:val="28"/>
              </w:rPr>
            </w:pPr>
          </w:p>
        </w:tc>
      </w:tr>
    </w:tbl>
    <w:p>
      <w:pPr>
        <w:pStyle w:val="BodyText"/>
        <w:ind w:left="0"/>
        <w:rPr>
          <w:rFonts w:ascii="方正小标宋简体"/>
          <w:sz w:val="20"/>
        </w:rPr>
      </w:pPr>
    </w:p>
    <w:p>
      <w:pPr>
        <w:pStyle w:val="BodyText"/>
        <w:spacing w:before="7"/>
        <w:ind w:left="0"/>
        <w:rPr>
          <w:rFonts w:ascii="方正小标宋简体"/>
          <w:sz w:val="10"/>
        </w:rPr>
      </w:pPr>
      <w:r>
        <w:rPr/>
        <w:pict>
          <v:line style="position:absolute;mso-position-horizontal-relative:page;mso-position-vertical-relative:paragraph;z-index:-251657216;mso-wrap-distance-left:0;mso-wrap-distance-right:0" from="78.400002pt,11.564688pt" to="516.800002pt,11.564688pt" stroked="true" strokeweight=".75pt" strokecolor="#000000">
            <v:stroke dashstyle="solid"/>
            <w10:wrap type="topAndBottom"/>
          </v:line>
        </w:pict>
      </w:r>
    </w:p>
    <w:p>
      <w:pPr>
        <w:tabs>
          <w:tab w:pos="5801" w:val="left" w:leader="none"/>
        </w:tabs>
        <w:spacing w:before="46" w:after="109"/>
        <w:ind w:left="340" w:right="0" w:firstLine="0"/>
        <w:jc w:val="left"/>
        <w:rPr>
          <w:sz w:val="28"/>
        </w:rPr>
      </w:pPr>
      <w:r>
        <w:rPr>
          <w:sz w:val="28"/>
        </w:rPr>
        <w:t>北京信</w:t>
      </w:r>
      <w:r>
        <w:rPr>
          <w:spacing w:val="-3"/>
          <w:sz w:val="28"/>
        </w:rPr>
        <w:t>息</w:t>
      </w:r>
      <w:r>
        <w:rPr>
          <w:sz w:val="28"/>
        </w:rPr>
        <w:t>科技</w:t>
      </w:r>
      <w:r>
        <w:rPr>
          <w:spacing w:val="-3"/>
          <w:sz w:val="28"/>
        </w:rPr>
        <w:t>大</w:t>
      </w:r>
      <w:r>
        <w:rPr>
          <w:sz w:val="28"/>
        </w:rPr>
        <w:t>学校长办</w:t>
      </w:r>
      <w:r>
        <w:rPr>
          <w:spacing w:val="-3"/>
          <w:sz w:val="28"/>
        </w:rPr>
        <w:t>公</w:t>
      </w:r>
      <w:r>
        <w:rPr>
          <w:sz w:val="28"/>
        </w:rPr>
        <w:t>室</w:t>
        <w:tab/>
        <w:t>2019</w:t>
      </w:r>
      <w:r>
        <w:rPr>
          <w:spacing w:val="-71"/>
          <w:sz w:val="28"/>
        </w:rPr>
        <w:t> </w:t>
      </w:r>
      <w:r>
        <w:rPr>
          <w:sz w:val="28"/>
        </w:rPr>
        <w:t>年</w:t>
      </w:r>
      <w:r>
        <w:rPr>
          <w:spacing w:val="-71"/>
          <w:sz w:val="28"/>
        </w:rPr>
        <w:t> </w:t>
      </w:r>
      <w:r>
        <w:rPr>
          <w:sz w:val="28"/>
        </w:rPr>
        <w:t>7</w:t>
      </w:r>
      <w:r>
        <w:rPr>
          <w:spacing w:val="-71"/>
          <w:sz w:val="28"/>
        </w:rPr>
        <w:t> </w:t>
      </w:r>
      <w:r>
        <w:rPr>
          <w:sz w:val="28"/>
        </w:rPr>
        <w:t>月</w:t>
      </w:r>
      <w:r>
        <w:rPr>
          <w:spacing w:val="-70"/>
          <w:sz w:val="28"/>
        </w:rPr>
        <w:t> </w:t>
      </w:r>
      <w:r>
        <w:rPr>
          <w:sz w:val="28"/>
        </w:rPr>
        <w:t>12</w:t>
      </w:r>
      <w:r>
        <w:rPr>
          <w:spacing w:val="-72"/>
          <w:sz w:val="28"/>
        </w:rPr>
        <w:t> </w:t>
      </w:r>
      <w:r>
        <w:rPr>
          <w:sz w:val="28"/>
        </w:rPr>
        <w:t>日印发</w:t>
      </w:r>
    </w:p>
    <w:p>
      <w:pPr>
        <w:pStyle w:val="BodyText"/>
        <w:spacing w:line="20" w:lineRule="exact"/>
        <w:ind w:left="100"/>
        <w:rPr>
          <w:sz w:val="2"/>
        </w:rPr>
      </w:pPr>
      <w:r>
        <w:rPr>
          <w:sz w:val="2"/>
        </w:rPr>
        <w:pict>
          <v:group style="width:438.4pt;height:.75pt;mso-position-horizontal-relative:char;mso-position-vertical-relative:line" coordorigin="0,0" coordsize="8768,15">
            <v:line style="position:absolute" from="0,8" to="8768,8" stroked="true" strokeweight=".75pt" strokecolor="#000000">
              <v:stroke dashstyle="solid"/>
            </v:line>
          </v:group>
        </w:pict>
      </w:r>
      <w:r>
        <w:rPr>
          <w:sz w:val="2"/>
        </w:rPr>
      </w:r>
    </w:p>
    <w:sectPr>
      <w:pgSz w:w="11910" w:h="16840"/>
      <w:pgMar w:header="0" w:footer="1114" w:top="1580" w:bottom="1300" w:left="1460" w:right="12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仿宋_GB2312">
    <w:altName w:val="仿宋_GB2312"/>
    <w:charset w:val="86"/>
    <w:family w:val="modern"/>
    <w:pitch w:val="fixed"/>
  </w:font>
  <w:font w:name="方正小标宋简体">
    <w:altName w:val="方正小标宋简体"/>
    <w:charset w:val="86"/>
    <w:family w:val="script"/>
    <w:pitch w:val="fixed"/>
  </w:font>
  <w:font w:name="黑体">
    <w:altName w:val="黑体"/>
    <w:charset w:val="86"/>
    <w:family w:val="modern"/>
    <w:pitch w:val="fixe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54.140015pt;margin-top:775.214355pt;width:58.2pt;height:16.05pt;mso-position-horizontal-relative:page;mso-position-vertical-relative:page;z-index:-252036096" type="#_x0000_t202" filled="false" stroked="false">
          <v:textbox inset="0,0,0,0">
            <w:txbxContent>
              <w:p>
                <w:pPr>
                  <w:spacing w:line="321" w:lineRule="exact" w:before="0"/>
                  <w:ind w:left="20" w:right="0" w:firstLine="0"/>
                  <w:jc w:val="left"/>
                  <w:rPr>
                    <w:rFonts w:ascii="宋体" w:hAnsi="宋体"/>
                    <w:sz w:val="28"/>
                  </w:rPr>
                </w:pPr>
                <w:r>
                  <w:rPr>
                    <w:rFonts w:ascii="宋体" w:hAnsi="宋体"/>
                    <w:sz w:val="28"/>
                  </w:rPr>
                  <w:t>— </w:t>
                </w:r>
                <w:r>
                  <w:rPr/>
                  <w:fldChar w:fldCharType="begin"/>
                </w:r>
                <w:r>
                  <w:rPr>
                    <w:rFonts w:ascii="宋体" w:hAnsi="宋体"/>
                    <w:sz w:val="28"/>
                  </w:rPr>
                  <w:instrText> PAGE </w:instrText>
                </w:r>
                <w:r>
                  <w:rPr/>
                  <w:fldChar w:fldCharType="separate"/>
                </w:r>
                <w:r>
                  <w:rPr/>
                  <w:t>11</w:t>
                </w:r>
                <w:r>
                  <w:rPr/>
                  <w:fldChar w:fldCharType="end"/>
                </w:r>
                <w:r>
                  <w:rPr>
                    <w:rFonts w:ascii="宋体" w:hAnsi="宋体"/>
                    <w:sz w:val="28"/>
                  </w:rPr>
                  <w:t> —</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89.024002pt;margin-top:775.214355pt;width:58.2pt;height:16.05pt;mso-position-horizontal-relative:page;mso-position-vertical-relative:page;z-index:-252035072" type="#_x0000_t202" filled="false" stroked="false">
          <v:textbox inset="0,0,0,0">
            <w:txbxContent>
              <w:p>
                <w:pPr>
                  <w:spacing w:line="321" w:lineRule="exact" w:before="0"/>
                  <w:ind w:left="20" w:right="0" w:firstLine="0"/>
                  <w:jc w:val="left"/>
                  <w:rPr>
                    <w:rFonts w:ascii="宋体" w:hAnsi="宋体"/>
                    <w:sz w:val="28"/>
                  </w:rPr>
                </w:pPr>
                <w:r>
                  <w:rPr>
                    <w:rFonts w:ascii="宋体" w:hAnsi="宋体"/>
                    <w:sz w:val="28"/>
                  </w:rPr>
                  <w:t>— </w:t>
                </w:r>
                <w:r>
                  <w:rPr/>
                  <w:fldChar w:fldCharType="begin"/>
                </w:r>
                <w:r>
                  <w:rPr>
                    <w:rFonts w:ascii="宋体" w:hAnsi="宋体"/>
                    <w:sz w:val="28"/>
                  </w:rPr>
                  <w:instrText> PAGE </w:instrText>
                </w:r>
                <w:r>
                  <w:rPr/>
                  <w:fldChar w:fldCharType="separate"/>
                </w:r>
                <w:r>
                  <w:rPr/>
                  <w:t>10</w:t>
                </w:r>
                <w:r>
                  <w:rPr/>
                  <w:fldChar w:fldCharType="end"/>
                </w:r>
                <w:r>
                  <w:rPr>
                    <w:rFonts w:ascii="宋体" w:hAnsi="宋体"/>
                    <w:sz w:val="28"/>
                  </w:rPr>
                  <w:t> —</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129" w:hanging="322"/>
        <w:jc w:val="left"/>
      </w:pPr>
      <w:rPr>
        <w:rFonts w:hint="default" w:ascii="仿宋_GB2312" w:hAnsi="仿宋_GB2312" w:eastAsia="仿宋_GB2312" w:cs="仿宋_GB2312"/>
        <w:spacing w:val="1"/>
        <w:w w:val="99"/>
        <w:sz w:val="30"/>
        <w:szCs w:val="30"/>
        <w:lang w:val="zh-CN" w:eastAsia="zh-CN" w:bidi="zh-CN"/>
      </w:rPr>
    </w:lvl>
    <w:lvl w:ilvl="1">
      <w:start w:val="0"/>
      <w:numFmt w:val="bullet"/>
      <w:lvlText w:val="•"/>
      <w:lvlJc w:val="left"/>
      <w:pPr>
        <w:ind w:left="1032" w:hanging="322"/>
      </w:pPr>
      <w:rPr>
        <w:rFonts w:hint="default"/>
        <w:lang w:val="zh-CN" w:eastAsia="zh-CN" w:bidi="zh-CN"/>
      </w:rPr>
    </w:lvl>
    <w:lvl w:ilvl="2">
      <w:start w:val="0"/>
      <w:numFmt w:val="bullet"/>
      <w:lvlText w:val="•"/>
      <w:lvlJc w:val="left"/>
      <w:pPr>
        <w:ind w:left="1945" w:hanging="322"/>
      </w:pPr>
      <w:rPr>
        <w:rFonts w:hint="default"/>
        <w:lang w:val="zh-CN" w:eastAsia="zh-CN" w:bidi="zh-CN"/>
      </w:rPr>
    </w:lvl>
    <w:lvl w:ilvl="3">
      <w:start w:val="0"/>
      <w:numFmt w:val="bullet"/>
      <w:lvlText w:val="•"/>
      <w:lvlJc w:val="left"/>
      <w:pPr>
        <w:ind w:left="2857" w:hanging="322"/>
      </w:pPr>
      <w:rPr>
        <w:rFonts w:hint="default"/>
        <w:lang w:val="zh-CN" w:eastAsia="zh-CN" w:bidi="zh-CN"/>
      </w:rPr>
    </w:lvl>
    <w:lvl w:ilvl="4">
      <w:start w:val="0"/>
      <w:numFmt w:val="bullet"/>
      <w:lvlText w:val="•"/>
      <w:lvlJc w:val="left"/>
      <w:pPr>
        <w:ind w:left="3770" w:hanging="322"/>
      </w:pPr>
      <w:rPr>
        <w:rFonts w:hint="default"/>
        <w:lang w:val="zh-CN" w:eastAsia="zh-CN" w:bidi="zh-CN"/>
      </w:rPr>
    </w:lvl>
    <w:lvl w:ilvl="5">
      <w:start w:val="0"/>
      <w:numFmt w:val="bullet"/>
      <w:lvlText w:val="•"/>
      <w:lvlJc w:val="left"/>
      <w:pPr>
        <w:ind w:left="4683" w:hanging="322"/>
      </w:pPr>
      <w:rPr>
        <w:rFonts w:hint="default"/>
        <w:lang w:val="zh-CN" w:eastAsia="zh-CN" w:bidi="zh-CN"/>
      </w:rPr>
    </w:lvl>
    <w:lvl w:ilvl="6">
      <w:start w:val="0"/>
      <w:numFmt w:val="bullet"/>
      <w:lvlText w:val="•"/>
      <w:lvlJc w:val="left"/>
      <w:pPr>
        <w:ind w:left="5595" w:hanging="322"/>
      </w:pPr>
      <w:rPr>
        <w:rFonts w:hint="default"/>
        <w:lang w:val="zh-CN" w:eastAsia="zh-CN" w:bidi="zh-CN"/>
      </w:rPr>
    </w:lvl>
    <w:lvl w:ilvl="7">
      <w:start w:val="0"/>
      <w:numFmt w:val="bullet"/>
      <w:lvlText w:val="•"/>
      <w:lvlJc w:val="left"/>
      <w:pPr>
        <w:ind w:left="6508" w:hanging="322"/>
      </w:pPr>
      <w:rPr>
        <w:rFonts w:hint="default"/>
        <w:lang w:val="zh-CN" w:eastAsia="zh-CN" w:bidi="zh-CN"/>
      </w:rPr>
    </w:lvl>
    <w:lvl w:ilvl="8">
      <w:start w:val="0"/>
      <w:numFmt w:val="bullet"/>
      <w:lvlText w:val="•"/>
      <w:lvlJc w:val="left"/>
      <w:pPr>
        <w:ind w:left="7421" w:hanging="322"/>
      </w:pPr>
      <w:rPr>
        <w:rFonts w:hint="default"/>
        <w:lang w:val="zh-CN" w:eastAsia="zh-CN" w:bidi="zh-CN"/>
      </w:rPr>
    </w:lvl>
  </w:abstractNum>
  <w:abstractNum w:abstractNumId="2">
    <w:multiLevelType w:val="hybridMultilevel"/>
    <w:lvl w:ilvl="0">
      <w:start w:val="1"/>
      <w:numFmt w:val="decimal"/>
      <w:lvlText w:val="%1."/>
      <w:lvlJc w:val="left"/>
      <w:pPr>
        <w:ind w:left="129" w:hanging="322"/>
        <w:jc w:val="left"/>
      </w:pPr>
      <w:rPr>
        <w:rFonts w:hint="default" w:ascii="仿宋_GB2312" w:hAnsi="仿宋_GB2312" w:eastAsia="仿宋_GB2312" w:cs="仿宋_GB2312"/>
        <w:spacing w:val="1"/>
        <w:w w:val="99"/>
        <w:sz w:val="30"/>
        <w:szCs w:val="30"/>
        <w:lang w:val="zh-CN" w:eastAsia="zh-CN" w:bidi="zh-CN"/>
      </w:rPr>
    </w:lvl>
    <w:lvl w:ilvl="1">
      <w:start w:val="0"/>
      <w:numFmt w:val="bullet"/>
      <w:lvlText w:val="•"/>
      <w:lvlJc w:val="left"/>
      <w:pPr>
        <w:ind w:left="1032" w:hanging="322"/>
      </w:pPr>
      <w:rPr>
        <w:rFonts w:hint="default"/>
        <w:lang w:val="zh-CN" w:eastAsia="zh-CN" w:bidi="zh-CN"/>
      </w:rPr>
    </w:lvl>
    <w:lvl w:ilvl="2">
      <w:start w:val="0"/>
      <w:numFmt w:val="bullet"/>
      <w:lvlText w:val="•"/>
      <w:lvlJc w:val="left"/>
      <w:pPr>
        <w:ind w:left="1945" w:hanging="322"/>
      </w:pPr>
      <w:rPr>
        <w:rFonts w:hint="default"/>
        <w:lang w:val="zh-CN" w:eastAsia="zh-CN" w:bidi="zh-CN"/>
      </w:rPr>
    </w:lvl>
    <w:lvl w:ilvl="3">
      <w:start w:val="0"/>
      <w:numFmt w:val="bullet"/>
      <w:lvlText w:val="•"/>
      <w:lvlJc w:val="left"/>
      <w:pPr>
        <w:ind w:left="2857" w:hanging="322"/>
      </w:pPr>
      <w:rPr>
        <w:rFonts w:hint="default"/>
        <w:lang w:val="zh-CN" w:eastAsia="zh-CN" w:bidi="zh-CN"/>
      </w:rPr>
    </w:lvl>
    <w:lvl w:ilvl="4">
      <w:start w:val="0"/>
      <w:numFmt w:val="bullet"/>
      <w:lvlText w:val="•"/>
      <w:lvlJc w:val="left"/>
      <w:pPr>
        <w:ind w:left="3770" w:hanging="322"/>
      </w:pPr>
      <w:rPr>
        <w:rFonts w:hint="default"/>
        <w:lang w:val="zh-CN" w:eastAsia="zh-CN" w:bidi="zh-CN"/>
      </w:rPr>
    </w:lvl>
    <w:lvl w:ilvl="5">
      <w:start w:val="0"/>
      <w:numFmt w:val="bullet"/>
      <w:lvlText w:val="•"/>
      <w:lvlJc w:val="left"/>
      <w:pPr>
        <w:ind w:left="4683" w:hanging="322"/>
      </w:pPr>
      <w:rPr>
        <w:rFonts w:hint="default"/>
        <w:lang w:val="zh-CN" w:eastAsia="zh-CN" w:bidi="zh-CN"/>
      </w:rPr>
    </w:lvl>
    <w:lvl w:ilvl="6">
      <w:start w:val="0"/>
      <w:numFmt w:val="bullet"/>
      <w:lvlText w:val="•"/>
      <w:lvlJc w:val="left"/>
      <w:pPr>
        <w:ind w:left="5595" w:hanging="322"/>
      </w:pPr>
      <w:rPr>
        <w:rFonts w:hint="default"/>
        <w:lang w:val="zh-CN" w:eastAsia="zh-CN" w:bidi="zh-CN"/>
      </w:rPr>
    </w:lvl>
    <w:lvl w:ilvl="7">
      <w:start w:val="0"/>
      <w:numFmt w:val="bullet"/>
      <w:lvlText w:val="•"/>
      <w:lvlJc w:val="left"/>
      <w:pPr>
        <w:ind w:left="6508" w:hanging="322"/>
      </w:pPr>
      <w:rPr>
        <w:rFonts w:hint="default"/>
        <w:lang w:val="zh-CN" w:eastAsia="zh-CN" w:bidi="zh-CN"/>
      </w:rPr>
    </w:lvl>
    <w:lvl w:ilvl="8">
      <w:start w:val="0"/>
      <w:numFmt w:val="bullet"/>
      <w:lvlText w:val="•"/>
      <w:lvlJc w:val="left"/>
      <w:pPr>
        <w:ind w:left="7421" w:hanging="322"/>
      </w:pPr>
      <w:rPr>
        <w:rFonts w:hint="default"/>
        <w:lang w:val="zh-CN" w:eastAsia="zh-CN" w:bidi="zh-CN"/>
      </w:rPr>
    </w:lvl>
  </w:abstractNum>
  <w:abstractNum w:abstractNumId="1">
    <w:multiLevelType w:val="hybridMultilevel"/>
    <w:lvl w:ilvl="0">
      <w:start w:val="1"/>
      <w:numFmt w:val="decimal"/>
      <w:lvlText w:val="%1."/>
      <w:lvlJc w:val="left"/>
      <w:pPr>
        <w:ind w:left="129" w:hanging="322"/>
        <w:jc w:val="left"/>
      </w:pPr>
      <w:rPr>
        <w:rFonts w:hint="default" w:ascii="仿宋_GB2312" w:hAnsi="仿宋_GB2312" w:eastAsia="仿宋_GB2312" w:cs="仿宋_GB2312"/>
        <w:spacing w:val="1"/>
        <w:w w:val="99"/>
        <w:sz w:val="30"/>
        <w:szCs w:val="30"/>
        <w:lang w:val="zh-CN" w:eastAsia="zh-CN" w:bidi="zh-CN"/>
      </w:rPr>
    </w:lvl>
    <w:lvl w:ilvl="1">
      <w:start w:val="0"/>
      <w:numFmt w:val="bullet"/>
      <w:lvlText w:val="•"/>
      <w:lvlJc w:val="left"/>
      <w:pPr>
        <w:ind w:left="1032" w:hanging="322"/>
      </w:pPr>
      <w:rPr>
        <w:rFonts w:hint="default"/>
        <w:lang w:val="zh-CN" w:eastAsia="zh-CN" w:bidi="zh-CN"/>
      </w:rPr>
    </w:lvl>
    <w:lvl w:ilvl="2">
      <w:start w:val="0"/>
      <w:numFmt w:val="bullet"/>
      <w:lvlText w:val="•"/>
      <w:lvlJc w:val="left"/>
      <w:pPr>
        <w:ind w:left="1945" w:hanging="322"/>
      </w:pPr>
      <w:rPr>
        <w:rFonts w:hint="default"/>
        <w:lang w:val="zh-CN" w:eastAsia="zh-CN" w:bidi="zh-CN"/>
      </w:rPr>
    </w:lvl>
    <w:lvl w:ilvl="3">
      <w:start w:val="0"/>
      <w:numFmt w:val="bullet"/>
      <w:lvlText w:val="•"/>
      <w:lvlJc w:val="left"/>
      <w:pPr>
        <w:ind w:left="2857" w:hanging="322"/>
      </w:pPr>
      <w:rPr>
        <w:rFonts w:hint="default"/>
        <w:lang w:val="zh-CN" w:eastAsia="zh-CN" w:bidi="zh-CN"/>
      </w:rPr>
    </w:lvl>
    <w:lvl w:ilvl="4">
      <w:start w:val="0"/>
      <w:numFmt w:val="bullet"/>
      <w:lvlText w:val="•"/>
      <w:lvlJc w:val="left"/>
      <w:pPr>
        <w:ind w:left="3770" w:hanging="322"/>
      </w:pPr>
      <w:rPr>
        <w:rFonts w:hint="default"/>
        <w:lang w:val="zh-CN" w:eastAsia="zh-CN" w:bidi="zh-CN"/>
      </w:rPr>
    </w:lvl>
    <w:lvl w:ilvl="5">
      <w:start w:val="0"/>
      <w:numFmt w:val="bullet"/>
      <w:lvlText w:val="•"/>
      <w:lvlJc w:val="left"/>
      <w:pPr>
        <w:ind w:left="4683" w:hanging="322"/>
      </w:pPr>
      <w:rPr>
        <w:rFonts w:hint="default"/>
        <w:lang w:val="zh-CN" w:eastAsia="zh-CN" w:bidi="zh-CN"/>
      </w:rPr>
    </w:lvl>
    <w:lvl w:ilvl="6">
      <w:start w:val="0"/>
      <w:numFmt w:val="bullet"/>
      <w:lvlText w:val="•"/>
      <w:lvlJc w:val="left"/>
      <w:pPr>
        <w:ind w:left="5595" w:hanging="322"/>
      </w:pPr>
      <w:rPr>
        <w:rFonts w:hint="default"/>
        <w:lang w:val="zh-CN" w:eastAsia="zh-CN" w:bidi="zh-CN"/>
      </w:rPr>
    </w:lvl>
    <w:lvl w:ilvl="7">
      <w:start w:val="0"/>
      <w:numFmt w:val="bullet"/>
      <w:lvlText w:val="•"/>
      <w:lvlJc w:val="left"/>
      <w:pPr>
        <w:ind w:left="6508" w:hanging="322"/>
      </w:pPr>
      <w:rPr>
        <w:rFonts w:hint="default"/>
        <w:lang w:val="zh-CN" w:eastAsia="zh-CN" w:bidi="zh-CN"/>
      </w:rPr>
    </w:lvl>
    <w:lvl w:ilvl="8">
      <w:start w:val="0"/>
      <w:numFmt w:val="bullet"/>
      <w:lvlText w:val="•"/>
      <w:lvlJc w:val="left"/>
      <w:pPr>
        <w:ind w:left="7421" w:hanging="322"/>
      </w:pPr>
      <w:rPr>
        <w:rFonts w:hint="default"/>
        <w:lang w:val="zh-CN" w:eastAsia="zh-CN" w:bidi="zh-CN"/>
      </w:rPr>
    </w:lvl>
  </w:abstractNum>
  <w:abstractNum w:abstractNumId="0">
    <w:multiLevelType w:val="hybridMultilevel"/>
    <w:lvl w:ilvl="0">
      <w:start w:val="1"/>
      <w:numFmt w:val="decimal"/>
      <w:lvlText w:val="%1."/>
      <w:lvlJc w:val="left"/>
      <w:pPr>
        <w:ind w:left="1091" w:hanging="322"/>
        <w:jc w:val="left"/>
      </w:pPr>
      <w:rPr>
        <w:rFonts w:hint="default" w:ascii="仿宋_GB2312" w:hAnsi="仿宋_GB2312" w:eastAsia="仿宋_GB2312" w:cs="仿宋_GB2312"/>
        <w:spacing w:val="1"/>
        <w:w w:val="99"/>
        <w:sz w:val="30"/>
        <w:szCs w:val="30"/>
        <w:lang w:val="zh-CN" w:eastAsia="zh-CN" w:bidi="zh-CN"/>
      </w:rPr>
    </w:lvl>
    <w:lvl w:ilvl="1">
      <w:start w:val="0"/>
      <w:numFmt w:val="bullet"/>
      <w:lvlText w:val="•"/>
      <w:lvlJc w:val="left"/>
      <w:pPr>
        <w:ind w:left="1914" w:hanging="322"/>
      </w:pPr>
      <w:rPr>
        <w:rFonts w:hint="default"/>
        <w:lang w:val="zh-CN" w:eastAsia="zh-CN" w:bidi="zh-CN"/>
      </w:rPr>
    </w:lvl>
    <w:lvl w:ilvl="2">
      <w:start w:val="0"/>
      <w:numFmt w:val="bullet"/>
      <w:lvlText w:val="•"/>
      <w:lvlJc w:val="left"/>
      <w:pPr>
        <w:ind w:left="2729" w:hanging="322"/>
      </w:pPr>
      <w:rPr>
        <w:rFonts w:hint="default"/>
        <w:lang w:val="zh-CN" w:eastAsia="zh-CN" w:bidi="zh-CN"/>
      </w:rPr>
    </w:lvl>
    <w:lvl w:ilvl="3">
      <w:start w:val="0"/>
      <w:numFmt w:val="bullet"/>
      <w:lvlText w:val="•"/>
      <w:lvlJc w:val="left"/>
      <w:pPr>
        <w:ind w:left="3543" w:hanging="322"/>
      </w:pPr>
      <w:rPr>
        <w:rFonts w:hint="default"/>
        <w:lang w:val="zh-CN" w:eastAsia="zh-CN" w:bidi="zh-CN"/>
      </w:rPr>
    </w:lvl>
    <w:lvl w:ilvl="4">
      <w:start w:val="0"/>
      <w:numFmt w:val="bullet"/>
      <w:lvlText w:val="•"/>
      <w:lvlJc w:val="left"/>
      <w:pPr>
        <w:ind w:left="4358" w:hanging="322"/>
      </w:pPr>
      <w:rPr>
        <w:rFonts w:hint="default"/>
        <w:lang w:val="zh-CN" w:eastAsia="zh-CN" w:bidi="zh-CN"/>
      </w:rPr>
    </w:lvl>
    <w:lvl w:ilvl="5">
      <w:start w:val="0"/>
      <w:numFmt w:val="bullet"/>
      <w:lvlText w:val="•"/>
      <w:lvlJc w:val="left"/>
      <w:pPr>
        <w:ind w:left="5173" w:hanging="322"/>
      </w:pPr>
      <w:rPr>
        <w:rFonts w:hint="default"/>
        <w:lang w:val="zh-CN" w:eastAsia="zh-CN" w:bidi="zh-CN"/>
      </w:rPr>
    </w:lvl>
    <w:lvl w:ilvl="6">
      <w:start w:val="0"/>
      <w:numFmt w:val="bullet"/>
      <w:lvlText w:val="•"/>
      <w:lvlJc w:val="left"/>
      <w:pPr>
        <w:ind w:left="5987" w:hanging="322"/>
      </w:pPr>
      <w:rPr>
        <w:rFonts w:hint="default"/>
        <w:lang w:val="zh-CN" w:eastAsia="zh-CN" w:bidi="zh-CN"/>
      </w:rPr>
    </w:lvl>
    <w:lvl w:ilvl="7">
      <w:start w:val="0"/>
      <w:numFmt w:val="bullet"/>
      <w:lvlText w:val="•"/>
      <w:lvlJc w:val="left"/>
      <w:pPr>
        <w:ind w:left="6802" w:hanging="322"/>
      </w:pPr>
      <w:rPr>
        <w:rFonts w:hint="default"/>
        <w:lang w:val="zh-CN" w:eastAsia="zh-CN" w:bidi="zh-CN"/>
      </w:rPr>
    </w:lvl>
    <w:lvl w:ilvl="8">
      <w:start w:val="0"/>
      <w:numFmt w:val="bullet"/>
      <w:lvlText w:val="•"/>
      <w:lvlJc w:val="left"/>
      <w:pPr>
        <w:ind w:left="7617" w:hanging="322"/>
      </w:pPr>
      <w:rPr>
        <w:rFonts w:hint="default"/>
        <w:lang w:val="zh-CN" w:eastAsia="zh-CN" w:bidi="zh-CN"/>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仿宋_GB2312" w:hAnsi="仿宋_GB2312" w:eastAsia="仿宋_GB2312" w:cs="仿宋_GB2312"/>
      <w:lang w:val="zh-CN" w:eastAsia="zh-CN" w:bidi="zh-CN"/>
    </w:rPr>
  </w:style>
  <w:style w:styleId="BodyText" w:type="paragraph">
    <w:name w:val="Body Text"/>
    <w:basedOn w:val="Normal"/>
    <w:uiPriority w:val="1"/>
    <w:qFormat/>
    <w:pPr>
      <w:ind w:left="129"/>
    </w:pPr>
    <w:rPr>
      <w:rFonts w:ascii="仿宋_GB2312" w:hAnsi="仿宋_GB2312" w:eastAsia="仿宋_GB2312" w:cs="仿宋_GB2312"/>
      <w:sz w:val="32"/>
      <w:szCs w:val="32"/>
      <w:lang w:val="zh-CN" w:eastAsia="zh-CN" w:bidi="zh-CN"/>
    </w:rPr>
  </w:style>
  <w:style w:styleId="Heading1" w:type="paragraph">
    <w:name w:val="Heading 1"/>
    <w:basedOn w:val="Normal"/>
    <w:uiPriority w:val="1"/>
    <w:qFormat/>
    <w:pPr>
      <w:spacing w:line="689" w:lineRule="exact"/>
      <w:ind w:right="142"/>
      <w:jc w:val="center"/>
      <w:outlineLvl w:val="1"/>
    </w:pPr>
    <w:rPr>
      <w:rFonts w:ascii="方正小标宋简体" w:hAnsi="方正小标宋简体" w:eastAsia="方正小标宋简体" w:cs="方正小标宋简体"/>
      <w:sz w:val="44"/>
      <w:szCs w:val="44"/>
      <w:lang w:val="zh-CN" w:eastAsia="zh-CN" w:bidi="zh-CN"/>
    </w:rPr>
  </w:style>
  <w:style w:styleId="ListParagraph" w:type="paragraph">
    <w:name w:val="List Paragraph"/>
    <w:basedOn w:val="Normal"/>
    <w:uiPriority w:val="1"/>
    <w:qFormat/>
    <w:pPr>
      <w:ind w:left="129" w:firstLine="640"/>
    </w:pPr>
    <w:rPr>
      <w:rFonts w:ascii="仿宋_GB2312" w:hAnsi="仿宋_GB2312" w:eastAsia="仿宋_GB2312" w:cs="仿宋_GB2312"/>
      <w:lang w:val="zh-CN" w:eastAsia="zh-CN" w:bidi="zh-CN"/>
    </w:rPr>
  </w:style>
  <w:style w:styleId="TableParagraph" w:type="paragraph">
    <w:name w:val="Table Paragraph"/>
    <w:basedOn w:val="Normal"/>
    <w:uiPriority w:val="1"/>
    <w:qFormat/>
    <w:pPr/>
    <w:rPr>
      <w:rFonts w:ascii="仿宋_GB2312" w:hAnsi="仿宋_GB2312" w:eastAsia="仿宋_GB2312" w:cs="仿宋_GB2312"/>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Xiaoying</dc:creator>
  <dcterms:created xsi:type="dcterms:W3CDTF">2023-05-29T01:32:48Z</dcterms:created>
  <dcterms:modified xsi:type="dcterms:W3CDTF">2023-05-29T01:32:48Z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2019-07-12T00:00:00Z</vt:filetime>
  </property>
  <property fmtid="{D5CDD505-2E9C-101B-9397-08002B2CF9AE}" pid="3" name="Creator">
    <vt:lpwstr>Microsoft® Word 2010</vt:lpwstr>
  </property>
  <property fmtid="{D5CDD505-2E9C-101B-9397-08002B2CF9AE}" pid="4" name="LastSaved">
    <vt:filetime>2023-05-29T00:00:00Z</vt:filetime>
  </property>
</Properties>
</file>